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2B001">
      <w:pPr>
        <w:rPr>
          <w:rFonts w:ascii="Times New Roman" w:hAnsi="Times New Roman" w:eastAsia="方正仿宋_GBK"/>
          <w:b/>
          <w:bCs/>
          <w:sz w:val="24"/>
        </w:rPr>
      </w:pPr>
      <w:r>
        <w:rPr>
          <w:rFonts w:hint="eastAsia" w:ascii="Times New Roman" w:hAnsi="Times New Roman" w:eastAsia="方正仿宋_GBK"/>
          <w:b/>
          <w:bCs/>
          <w:sz w:val="24"/>
        </w:rPr>
        <w:t>附件：</w:t>
      </w:r>
    </w:p>
    <w:p w14:paraId="0C2D3CFF">
      <w:pPr>
        <w:jc w:val="center"/>
        <w:rPr>
          <w:rFonts w:hint="eastAsia" w:ascii="Times New Roman" w:hAnsi="Times New Roman" w:eastAsia="方正小标宋_GBK"/>
          <w:sz w:val="36"/>
          <w:szCs w:val="24"/>
        </w:rPr>
      </w:pPr>
      <w:r>
        <w:rPr>
          <w:rFonts w:hint="eastAsia" w:ascii="Times New Roman" w:hAnsi="Times New Roman" w:eastAsia="方正小标宋_GBK"/>
          <w:sz w:val="36"/>
          <w:szCs w:val="24"/>
        </w:rPr>
        <w:t>无锡市锡山区</w:t>
      </w:r>
      <w:r>
        <w:rPr>
          <w:rFonts w:hint="eastAsia" w:ascii="Times New Roman" w:hAnsi="Times New Roman" w:eastAsia="方正小标宋_GBK"/>
          <w:sz w:val="36"/>
          <w:szCs w:val="24"/>
          <w:lang w:eastAsia="zh-CN"/>
        </w:rPr>
        <w:t>2021-02-02</w:t>
      </w:r>
      <w:r>
        <w:rPr>
          <w:rFonts w:hint="eastAsia" w:ascii="Times New Roman" w:hAnsi="Times New Roman" w:eastAsia="方正小标宋_GBK"/>
          <w:sz w:val="36"/>
          <w:szCs w:val="24"/>
        </w:rPr>
        <w:t>号片区土地征收</w:t>
      </w:r>
    </w:p>
    <w:p w14:paraId="1E46C605">
      <w:pPr>
        <w:jc w:val="center"/>
        <w:rPr>
          <w:rFonts w:ascii="Times New Roman" w:hAnsi="Times New Roman" w:eastAsia="方正小标宋_GBK"/>
          <w:sz w:val="36"/>
          <w:szCs w:val="24"/>
        </w:rPr>
      </w:pPr>
      <w:r>
        <w:rPr>
          <w:rFonts w:hint="eastAsia" w:ascii="Times New Roman" w:hAnsi="Times New Roman" w:eastAsia="方正小标宋_GBK"/>
          <w:sz w:val="36"/>
          <w:szCs w:val="24"/>
        </w:rPr>
        <w:t>成片开发调整方案</w:t>
      </w:r>
    </w:p>
    <w:p w14:paraId="1C277560">
      <w:pPr>
        <w:jc w:val="center"/>
        <w:rPr>
          <w:rFonts w:ascii="Times New Roman" w:hAnsi="Times New Roman" w:eastAsia="方正小标宋_GBK"/>
          <w:sz w:val="36"/>
          <w:szCs w:val="24"/>
        </w:rPr>
      </w:pPr>
      <w:r>
        <w:rPr>
          <w:rFonts w:hint="eastAsia" w:ascii="Times New Roman" w:hAnsi="Times New Roman" w:eastAsia="方正小标宋_GBK"/>
          <w:sz w:val="36"/>
          <w:szCs w:val="24"/>
        </w:rPr>
        <w:t>（征求意见稿）</w:t>
      </w:r>
    </w:p>
    <w:p w14:paraId="30CEA94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背景</w:t>
      </w:r>
    </w:p>
    <w:p w14:paraId="03402A7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为贯彻落实《中华人民共和国土地管理法》和《自然资源部关于印发</w:t>
      </w:r>
      <w:bookmarkStart w:id="0" w:name="_GoBack"/>
      <w:r>
        <w:rPr>
          <w:rFonts w:hint="eastAsia" w:ascii="Times New Roman" w:hAnsi="Times New Roman" w:eastAsia="仿宋_GB2312"/>
          <w:sz w:val="24"/>
        </w:rPr>
        <w:t>&lt;</w:t>
      </w:r>
      <w:bookmarkEnd w:id="0"/>
      <w:r>
        <w:rPr>
          <w:rFonts w:hint="eastAsia" w:ascii="Times New Roman" w:hAnsi="Times New Roman" w:eastAsia="仿宋_GB2312"/>
          <w:sz w:val="24"/>
        </w:rPr>
        <w:t>土地征收成片开发标准&gt;的通知》（自然资规〔2023〕7号）、《江苏省自然资源厅关于开展土地征收成片开发方案编制工作的通知》（苏自然资函〔2021〕15号）、《江苏省自然资源厅关于加快推进土地征收成片开发方案编制工作的通知》（苏自然资发〔2021〕138号）、《江苏省自然资源厅关于深入推进土地征收成片开发方案编制工作的通知》（苏自然资函〔2024〕939号）以及《无锡市自然资源和规划局关于规范做好土地征收成片开发方案审批工作的通知》（锡自然资规发〔2023〕120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4FA9B068">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片区基本情况</w:t>
      </w:r>
    </w:p>
    <w:p w14:paraId="3BE160D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无锡市锡山区</w:t>
      </w:r>
      <w:r>
        <w:rPr>
          <w:rFonts w:hint="eastAsia" w:ascii="Times New Roman" w:hAnsi="Times New Roman" w:eastAsia="仿宋_GB2312"/>
          <w:sz w:val="24"/>
          <w:highlight w:val="none"/>
          <w:lang w:eastAsia="zh-CN"/>
        </w:rPr>
        <w:t>2021-02-02</w:t>
      </w:r>
      <w:r>
        <w:rPr>
          <w:rFonts w:hint="eastAsia" w:ascii="Times New Roman" w:hAnsi="Times New Roman" w:eastAsia="仿宋_GB2312"/>
          <w:sz w:val="24"/>
          <w:highlight w:val="none"/>
        </w:rPr>
        <w:t>号片区土地征收成片开发调整方案共包括1个片区，位于</w:t>
      </w:r>
      <w:r>
        <w:rPr>
          <w:rFonts w:hint="eastAsia" w:ascii="Times New Roman" w:hAnsi="Times New Roman" w:eastAsia="仿宋_GB2312"/>
          <w:sz w:val="24"/>
          <w:highlight w:val="none"/>
          <w:lang w:eastAsia="zh-CN"/>
        </w:rPr>
        <w:t>东北塘街道</w:t>
      </w:r>
      <w:r>
        <w:rPr>
          <w:rFonts w:hint="eastAsia" w:ascii="Times New Roman" w:hAnsi="Times New Roman" w:eastAsia="仿宋_GB2312"/>
          <w:sz w:val="24"/>
          <w:highlight w:val="none"/>
        </w:rPr>
        <w:t>，片区总面积</w:t>
      </w:r>
      <w:r>
        <w:rPr>
          <w:rFonts w:hint="eastAsia" w:ascii="Times New Roman" w:hAnsi="Times New Roman" w:eastAsia="仿宋_GB2312"/>
          <w:sz w:val="24"/>
          <w:highlight w:val="none"/>
          <w:lang w:eastAsia="zh-CN"/>
        </w:rPr>
        <w:t>110.3667</w:t>
      </w:r>
      <w:r>
        <w:rPr>
          <w:rFonts w:hint="eastAsia" w:ascii="Times New Roman" w:hAnsi="Times New Roman" w:eastAsia="仿宋_GB2312"/>
          <w:sz w:val="24"/>
          <w:highlight w:val="none"/>
        </w:rPr>
        <w:t>公顷（片区范围和面积以最终批复为准），片区布局集中连片，形态相对完整，具备成片开发条件。开发片区基本情况如下表：</w:t>
      </w:r>
    </w:p>
    <w:p w14:paraId="504C3D5E">
      <w:pPr>
        <w:spacing w:line="360" w:lineRule="auto"/>
        <w:jc w:val="center"/>
        <w:rPr>
          <w:rFonts w:ascii="Times New Roman" w:hAnsi="Times New Roman" w:eastAsia="仿宋_GB2312"/>
          <w:sz w:val="24"/>
          <w:highlight w:val="none"/>
        </w:rPr>
      </w:pPr>
      <w:r>
        <w:rPr>
          <w:rFonts w:hint="eastAsia" w:ascii="Times New Roman" w:hAnsi="Times New Roman" w:eastAsia="仿宋_GB2312"/>
          <w:sz w:val="24"/>
          <w:highlight w:val="none"/>
        </w:rPr>
        <w:t>表1</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开发片区基本情况表</w:t>
      </w:r>
    </w:p>
    <w:p w14:paraId="17DB1A44">
      <w:pPr>
        <w:spacing w:line="360" w:lineRule="auto"/>
        <w:jc w:val="right"/>
        <w:rPr>
          <w:rFonts w:ascii="Times New Roman" w:hAnsi="Times New Roman" w:eastAsia="仿宋_GB2312"/>
          <w:sz w:val="24"/>
          <w:highlight w:val="none"/>
        </w:rPr>
      </w:pPr>
      <w:r>
        <w:rPr>
          <w:rFonts w:hint="eastAsia" w:ascii="Times New Roman" w:hAnsi="Times New Roman" w:eastAsia="仿宋_GB2312"/>
          <w:sz w:val="24"/>
          <w:highlight w:val="none"/>
        </w:rPr>
        <w:t>单位：公顷</w:t>
      </w: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301"/>
        <w:gridCol w:w="1399"/>
        <w:gridCol w:w="2417"/>
        <w:gridCol w:w="1911"/>
      </w:tblGrid>
      <w:tr w14:paraId="4857C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4B8B5162">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片区名称</w:t>
            </w:r>
          </w:p>
        </w:tc>
        <w:tc>
          <w:tcPr>
            <w:tcW w:w="745" w:type="pct"/>
            <w:vAlign w:val="center"/>
          </w:tcPr>
          <w:p w14:paraId="3ABDFCA9">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片区面积</w:t>
            </w:r>
          </w:p>
        </w:tc>
        <w:tc>
          <w:tcPr>
            <w:tcW w:w="801" w:type="pct"/>
            <w:vAlign w:val="center"/>
          </w:tcPr>
          <w:p w14:paraId="2592B3FE">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所在乡镇</w:t>
            </w:r>
          </w:p>
        </w:tc>
        <w:tc>
          <w:tcPr>
            <w:tcW w:w="1384" w:type="pct"/>
            <w:vAlign w:val="center"/>
          </w:tcPr>
          <w:p w14:paraId="080FCD86">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四至范围</w:t>
            </w:r>
          </w:p>
        </w:tc>
        <w:tc>
          <w:tcPr>
            <w:tcW w:w="1094" w:type="pct"/>
            <w:vAlign w:val="center"/>
          </w:tcPr>
          <w:p w14:paraId="614C54A3">
            <w:pPr>
              <w:jc w:val="center"/>
              <w:rPr>
                <w:rFonts w:ascii="Times New Roman" w:hAnsi="Times New Roman" w:eastAsia="仿宋_GB2312"/>
                <w:sz w:val="18"/>
                <w:szCs w:val="16"/>
                <w:highlight w:val="none"/>
              </w:rPr>
            </w:pPr>
            <w:r>
              <w:rPr>
                <w:rFonts w:hint="eastAsia" w:ascii="Times New Roman" w:hAnsi="Times New Roman" w:eastAsia="仿宋_GB2312"/>
                <w:sz w:val="18"/>
                <w:szCs w:val="16"/>
                <w:highlight w:val="none"/>
              </w:rPr>
              <w:t>功能定位和主要用途</w:t>
            </w:r>
          </w:p>
        </w:tc>
      </w:tr>
      <w:tr w14:paraId="153E3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6B29C8DA">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东北塘2号片区</w:t>
            </w:r>
          </w:p>
        </w:tc>
        <w:tc>
          <w:tcPr>
            <w:tcW w:w="745" w:type="pct"/>
            <w:vAlign w:val="center"/>
          </w:tcPr>
          <w:p w14:paraId="3D0B361A">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110.3667</w:t>
            </w:r>
          </w:p>
        </w:tc>
        <w:tc>
          <w:tcPr>
            <w:tcW w:w="801" w:type="pct"/>
            <w:vAlign w:val="center"/>
          </w:tcPr>
          <w:p w14:paraId="7227544A">
            <w:pPr>
              <w:jc w:val="center"/>
              <w:rPr>
                <w:rFonts w:hint="eastAsia" w:ascii="Times New Roman" w:hAnsi="Times New Roman" w:eastAsia="仿宋_GB2312"/>
                <w:sz w:val="18"/>
                <w:szCs w:val="16"/>
                <w:highlight w:val="none"/>
                <w:lang w:eastAsia="zh-CN"/>
              </w:rPr>
            </w:pPr>
            <w:r>
              <w:rPr>
                <w:rFonts w:hint="eastAsia" w:ascii="Times New Roman" w:hAnsi="Times New Roman" w:eastAsia="仿宋_GB2312"/>
                <w:sz w:val="18"/>
                <w:szCs w:val="16"/>
                <w:highlight w:val="none"/>
                <w:lang w:eastAsia="zh-CN"/>
              </w:rPr>
              <w:t>东北塘街道</w:t>
            </w:r>
          </w:p>
        </w:tc>
        <w:tc>
          <w:tcPr>
            <w:tcW w:w="1384" w:type="pct"/>
            <w:vAlign w:val="center"/>
          </w:tcPr>
          <w:p w14:paraId="69D99AB5">
            <w:pPr>
              <w:jc w:val="left"/>
              <w:rPr>
                <w:rFonts w:ascii="Times New Roman" w:hAnsi="Times New Roman" w:eastAsia="仿宋_GB2312"/>
                <w:sz w:val="18"/>
                <w:szCs w:val="16"/>
                <w:highlight w:val="none"/>
              </w:rPr>
            </w:pPr>
            <w:r>
              <w:rPr>
                <w:rFonts w:hint="eastAsia" w:ascii="Times New Roman" w:hAnsi="Times New Roman" w:eastAsia="仿宋_GB2312"/>
                <w:sz w:val="18"/>
                <w:szCs w:val="16"/>
                <w:highlight w:val="none"/>
                <w:lang w:eastAsia="zh-CN"/>
              </w:rPr>
              <w:t>东至河流，南至锡港路，西至农新河路，北至东鹏路延伸段。</w:t>
            </w:r>
          </w:p>
        </w:tc>
        <w:tc>
          <w:tcPr>
            <w:tcW w:w="1094" w:type="pct"/>
            <w:vAlign w:val="center"/>
          </w:tcPr>
          <w:p w14:paraId="5C110D76">
            <w:pPr>
              <w:jc w:val="center"/>
              <w:rPr>
                <w:rFonts w:hint="default" w:ascii="Times New Roman" w:hAnsi="Times New Roman" w:eastAsia="仿宋_GB2312"/>
                <w:sz w:val="18"/>
                <w:szCs w:val="16"/>
                <w:highlight w:val="none"/>
                <w:lang w:val="en-US" w:eastAsia="zh-CN"/>
              </w:rPr>
            </w:pPr>
            <w:r>
              <w:rPr>
                <w:rFonts w:hint="eastAsia" w:ascii="Times New Roman" w:hAnsi="Times New Roman" w:eastAsia="仿宋_GB2312"/>
                <w:sz w:val="18"/>
                <w:szCs w:val="16"/>
                <w:highlight w:val="none"/>
                <w:lang w:val="en-US" w:eastAsia="zh-CN"/>
              </w:rPr>
              <w:t>工业主导型</w:t>
            </w:r>
          </w:p>
        </w:tc>
      </w:tr>
    </w:tbl>
    <w:p w14:paraId="0FC7B5CD">
      <w:pPr>
        <w:spacing w:line="360" w:lineRule="auto"/>
        <w:jc w:val="center"/>
        <w:rPr>
          <w:rFonts w:ascii="Times New Roman" w:hAnsi="Times New Roman" w:eastAsia="仿宋_GB2312"/>
          <w:sz w:val="24"/>
          <w:highlight w:val="none"/>
        </w:rPr>
      </w:pPr>
      <w:r>
        <w:rPr>
          <w:rFonts w:ascii="Times New Roman" w:hAnsi="Times New Roman" w:eastAsia="仿宋_GB2312"/>
          <w:sz w:val="24"/>
          <w:highlight w:val="none"/>
        </w:rPr>
        <w:drawing>
          <wp:inline distT="0" distB="0" distL="0" distR="0">
            <wp:extent cx="5274310" cy="3728720"/>
            <wp:effectExtent l="0" t="0" r="13970" b="5080"/>
            <wp:docPr id="1578323339" name="图片 1" descr="E:/2025年度/01成片开发/11东北塘2号片区调整/0915网上公示/成片开发.jpg成片开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323339" name="图片 1" descr="E:/2025年度/01成片开发/11东北塘2号片区调整/0915网上公示/成片开发.jpg成片开发"/>
                    <pic:cNvPicPr>
                      <a:picLocks noChangeAspect="1"/>
                    </pic:cNvPicPr>
                  </pic:nvPicPr>
                  <pic:blipFill>
                    <a:blip r:embed="rId4"/>
                    <a:srcRect t="12" b="12"/>
                    <a:stretch>
                      <a:fillRect/>
                    </a:stretch>
                  </pic:blipFill>
                  <pic:spPr>
                    <a:xfrm>
                      <a:off x="0" y="0"/>
                      <a:ext cx="5274310" cy="3728720"/>
                    </a:xfrm>
                    <a:prstGeom prst="rect">
                      <a:avLst/>
                    </a:prstGeom>
                  </pic:spPr>
                </pic:pic>
              </a:graphicData>
            </a:graphic>
          </wp:inline>
        </w:drawing>
      </w:r>
    </w:p>
    <w:p w14:paraId="7B963137">
      <w:pPr>
        <w:spacing w:line="360" w:lineRule="auto"/>
        <w:jc w:val="center"/>
        <w:rPr>
          <w:rFonts w:ascii="Times New Roman" w:hAnsi="Times New Roman" w:eastAsia="仿宋_GB2312"/>
          <w:sz w:val="24"/>
          <w:highlight w:val="none"/>
        </w:rPr>
      </w:pPr>
      <w:r>
        <w:rPr>
          <w:rFonts w:hint="eastAsia" w:ascii="Times New Roman" w:hAnsi="Times New Roman" w:eastAsia="仿宋_GB2312"/>
          <w:sz w:val="24"/>
          <w:highlight w:val="none"/>
        </w:rPr>
        <w:t>图1</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片区范围示意图</w:t>
      </w:r>
    </w:p>
    <w:p w14:paraId="4BEB1094">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成片开发的必要性</w:t>
      </w:r>
    </w:p>
    <w:p w14:paraId="13E7D28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rPr>
        <w:t>根据《中华人民共和国土地管理法》、《自然资源部关于印发&lt;土地征收成片开发标准（试行）&gt;的通知》（自然资规〔2020〕5号）、《江苏省自然资源厅关于开展土地征收成片开发方案编制工作的通知》（苏自然资函〔2021〕15号）等文件要求，结合</w:t>
      </w:r>
      <w:r>
        <w:rPr>
          <w:rFonts w:hint="eastAsia" w:ascii="Times New Roman" w:hAnsi="Times New Roman" w:eastAsia="仿宋_GB2312"/>
          <w:sz w:val="24"/>
          <w:lang w:eastAsia="zh-CN"/>
        </w:rPr>
        <w:t>东北塘街道</w:t>
      </w:r>
      <w:r>
        <w:rPr>
          <w:rFonts w:hint="eastAsia" w:ascii="Times New Roman" w:hAnsi="Times New Roman" w:eastAsia="仿宋_GB2312"/>
          <w:sz w:val="24"/>
        </w:rPr>
        <w:t>用地需求，锡山区人民政府委托无锡市自然资源和规划局锡山分局组织编制了《无锡市锡山区2021-02号土地征收成片开发方案》，并于2021年12月取得《江苏省自然资源厅关于批准无锡市滨湖区2021-02号等2个土地征收成片开发方案的函》（苏自然资函〔2021〕1483 号）。方案批复后，片区内部分地块已征收完毕，正在有序建设中。根据《自然资源部关于印发〈土地征收成片开发标准〉的通知》（自然资规〔2023〕7号）、《江苏省自然资源厅关于深入推进土地征收成片开发方案编制工作的通知》（苏自然资函〔2024〕939号）以及无锡市锡山区国土空间总体规划（2021—2035 年），为衔接各项政策要求，需要对《无锡市锡山区2021-02号土地征收成片开发方案》中的</w:t>
      </w:r>
      <w:r>
        <w:rPr>
          <w:rFonts w:hint="eastAsia" w:ascii="Times New Roman" w:hAnsi="Times New Roman" w:eastAsia="仿宋_GB2312"/>
          <w:sz w:val="24"/>
          <w:lang w:eastAsia="zh-CN"/>
        </w:rPr>
        <w:t>东北塘2号片区</w:t>
      </w:r>
      <w:r>
        <w:rPr>
          <w:rFonts w:hint="eastAsia" w:ascii="Times New Roman" w:hAnsi="Times New Roman" w:eastAsia="仿宋_GB2312"/>
          <w:sz w:val="24"/>
        </w:rPr>
        <w:t>（CP320205-</w:t>
      </w:r>
      <w:r>
        <w:rPr>
          <w:rFonts w:hint="eastAsia" w:ascii="Times New Roman" w:hAnsi="Times New Roman" w:eastAsia="仿宋_GB2312"/>
          <w:sz w:val="24"/>
          <w:lang w:eastAsia="zh-CN"/>
        </w:rPr>
        <w:t>2021-02-02</w:t>
      </w:r>
      <w:r>
        <w:rPr>
          <w:rFonts w:hint="eastAsia" w:ascii="Times New Roman" w:hAnsi="Times New Roman" w:eastAsia="仿宋_GB2312"/>
          <w:sz w:val="24"/>
        </w:rPr>
        <w:t>）进行方案调整，</w:t>
      </w:r>
      <w:r>
        <w:rPr>
          <w:rFonts w:hint="eastAsia" w:ascii="Times New Roman" w:hAnsi="Times New Roman" w:eastAsia="仿宋_GB2312"/>
          <w:sz w:val="24"/>
          <w:lang w:val="en-US" w:eastAsia="zh-CN"/>
        </w:rPr>
        <w:t>从而</w:t>
      </w:r>
      <w:r>
        <w:rPr>
          <w:rFonts w:hint="eastAsia" w:ascii="Times New Roman" w:hAnsi="Times New Roman" w:eastAsia="仿宋_GB2312"/>
          <w:sz w:val="24"/>
          <w:highlight w:val="none"/>
          <w:lang w:val="en-US" w:eastAsia="zh-CN"/>
        </w:rPr>
        <w:t>满足农新路东侧后期用地需求</w:t>
      </w:r>
      <w:r>
        <w:rPr>
          <w:rFonts w:hint="eastAsia" w:ascii="Times New Roman" w:hAnsi="Times New Roman" w:eastAsia="仿宋_GB2312"/>
          <w:sz w:val="24"/>
          <w:highlight w:val="none"/>
        </w:rPr>
        <w:t>，吸引优质项目落地，增强区域经济活力</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同时统筹公共服务配套，为新型城镇化与可持续发展提供支撑。</w:t>
      </w:r>
    </w:p>
    <w:p w14:paraId="3F83AFC6">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开发实施计划</w:t>
      </w:r>
    </w:p>
    <w:p w14:paraId="39FB240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2021-02-02</w:t>
      </w:r>
      <w:r>
        <w:rPr>
          <w:rFonts w:hint="eastAsia" w:ascii="Times New Roman" w:hAnsi="Times New Roman" w:eastAsia="仿宋_GB2312"/>
          <w:sz w:val="24"/>
        </w:rPr>
        <w:t>号片区土地征收成片开发调整方案计划在获取批复后分批次启动土地征收工作，成片开发范围内拟建设项目有工业用地及配套建设基础设施类项目。</w:t>
      </w:r>
    </w:p>
    <w:p w14:paraId="72A13BD6">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规划、计划符合情况</w:t>
      </w:r>
    </w:p>
    <w:p w14:paraId="2E817C2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1、符合国民经济和社会发展规划、年度计划</w:t>
      </w:r>
    </w:p>
    <w:p w14:paraId="38849DF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本次方案符合无锡市锡山区国民经济和社会发展规划、年度计划。</w:t>
      </w:r>
    </w:p>
    <w:p w14:paraId="52ABDBC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2、符合相关红线管控要求</w:t>
      </w:r>
    </w:p>
    <w:p w14:paraId="261A2D3E">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本次方案与《无锡市锡山区国土空间总体规划（2021—2035年）》进行了充分衔接，未涉及锡山区永久基本农田和生态保护红线。</w:t>
      </w:r>
    </w:p>
    <w:p w14:paraId="55466ADB">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本次方案土地征收成片开发内容符合《江苏省生态空间管控区域规划》的要求，开发片区未涉及江苏省生态空间管控区域。</w:t>
      </w:r>
    </w:p>
    <w:p w14:paraId="097E2A6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3、符合城镇开发边界管控要求</w:t>
      </w:r>
    </w:p>
    <w:p w14:paraId="482D78E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本次方案与《无锡市锡山区国土空间总体规划（2021—2035年）》进行了充分衔接，片区位于划定的城镇开发边界范围内。</w:t>
      </w:r>
    </w:p>
    <w:p w14:paraId="1383F45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4、与</w:t>
      </w:r>
      <w:r>
        <w:rPr>
          <w:rFonts w:hint="eastAsia" w:ascii="Times New Roman" w:hAnsi="Times New Roman" w:eastAsia="仿宋_GB2312"/>
          <w:sz w:val="24"/>
          <w:lang w:eastAsia="zh-CN"/>
        </w:rPr>
        <w:t>详细规划</w:t>
      </w:r>
      <w:r>
        <w:rPr>
          <w:rFonts w:hint="eastAsia" w:ascii="Times New Roman" w:hAnsi="Times New Roman" w:eastAsia="仿宋_GB2312"/>
          <w:sz w:val="24"/>
        </w:rPr>
        <w:t>衔接情况</w:t>
      </w:r>
    </w:p>
    <w:p w14:paraId="4841467B">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本次方案的土地征收成片开发范围布局在锡山区</w:t>
      </w:r>
      <w:r>
        <w:rPr>
          <w:rFonts w:hint="eastAsia" w:ascii="Times New Roman" w:hAnsi="Times New Roman" w:eastAsia="仿宋_GB2312"/>
          <w:sz w:val="24"/>
          <w:lang w:eastAsia="zh-CN"/>
        </w:rPr>
        <w:t>详细规划</w:t>
      </w:r>
      <w:r>
        <w:rPr>
          <w:rFonts w:hint="eastAsia" w:ascii="Times New Roman" w:hAnsi="Times New Roman" w:eastAsia="仿宋_GB2312"/>
          <w:sz w:val="24"/>
        </w:rPr>
        <w:t>单元内，符合城市、街镇规划发展方向，成片开发片区内规划建设项目类型也与所在单元</w:t>
      </w:r>
      <w:r>
        <w:rPr>
          <w:rFonts w:hint="eastAsia" w:ascii="Times New Roman" w:hAnsi="Times New Roman" w:eastAsia="仿宋_GB2312"/>
          <w:sz w:val="24"/>
          <w:lang w:eastAsia="zh-CN"/>
        </w:rPr>
        <w:t>详细规划</w:t>
      </w:r>
      <w:r>
        <w:rPr>
          <w:rFonts w:hint="eastAsia" w:ascii="Times New Roman" w:hAnsi="Times New Roman" w:eastAsia="仿宋_GB2312"/>
          <w:sz w:val="24"/>
        </w:rPr>
        <w:t>中的地块规划用途一致，符合所在区域功能定位。</w:t>
      </w:r>
    </w:p>
    <w:p w14:paraId="0B39C23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5、与其他规划的衔接</w:t>
      </w:r>
    </w:p>
    <w:p w14:paraId="40C8510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根据《江苏省湿地保护条例（2024年修订）》《江苏省湖泊保护条例》《江苏省水域保护办法》《江苏省湖泊保护名录（2021修编）》《江苏省骨干河道名录（2018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5FD95BD9">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片区不涉及各级各类自然保护地。</w:t>
      </w:r>
    </w:p>
    <w:p w14:paraId="30A579A9">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效益评价</w:t>
      </w:r>
    </w:p>
    <w:p w14:paraId="57391C77">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1、经济效益</w:t>
      </w:r>
    </w:p>
    <w:p w14:paraId="4505D36D">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片区开发具有一定的经济效益。片区建成后，区域产值与税收规模将显著增长，吸引</w:t>
      </w:r>
      <w:r>
        <w:rPr>
          <w:rFonts w:hint="eastAsia" w:ascii="Times New Roman" w:hAnsi="Times New Roman" w:eastAsia="仿宋_GB2312"/>
          <w:sz w:val="24"/>
          <w:highlight w:val="none"/>
          <w:lang w:val="en-US" w:eastAsia="zh-CN"/>
        </w:rPr>
        <w:t>优质</w:t>
      </w:r>
      <w:r>
        <w:rPr>
          <w:rFonts w:hint="eastAsia" w:ascii="Times New Roman" w:hAnsi="Times New Roman" w:eastAsia="仿宋_GB2312"/>
          <w:sz w:val="24"/>
          <w:highlight w:val="none"/>
        </w:rPr>
        <w:t>资本持续注入，形成以龙头企业为核心、中小企业配套的产业生态圈，创造多元化就业岗位，激活地方消费市场，为区域经济高质量发展注入长期动能。</w:t>
      </w:r>
    </w:p>
    <w:p w14:paraId="0B8CE068">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2、社会效益</w:t>
      </w:r>
    </w:p>
    <w:p w14:paraId="3689A729">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片区开发具有一定的社会效益。</w:t>
      </w:r>
      <w:r>
        <w:rPr>
          <w:rFonts w:hint="eastAsia" w:ascii="Times New Roman" w:hAnsi="Times New Roman" w:eastAsia="仿宋_GB2312"/>
          <w:sz w:val="24"/>
          <w:highlight w:val="none"/>
          <w:lang w:val="en-US" w:eastAsia="zh-CN"/>
        </w:rPr>
        <w:t>片区为工业主导型片区，工业集聚将加速人口与资源流动，带动交通、能源、通信等基础设施全面升级。居民就业机会增加，收入水平稳步提升，社会保障体系逐步完善。</w:t>
      </w:r>
    </w:p>
    <w:p w14:paraId="59DE9E45">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3、生态效益</w:t>
      </w:r>
    </w:p>
    <w:p w14:paraId="4C6A96C1">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片区开发具有一定的生态效益。</w:t>
      </w:r>
      <w:r>
        <w:rPr>
          <w:rFonts w:hint="eastAsia" w:ascii="Times New Roman" w:hAnsi="Times New Roman" w:eastAsia="仿宋_GB2312"/>
          <w:sz w:val="24"/>
          <w:highlight w:val="none"/>
          <w:lang w:val="en-US" w:eastAsia="zh-CN"/>
        </w:rPr>
        <w:t>通过合理安排用地规模、结构和布局，优化土地利用空间格局，因地制宜配置用地，提高现有用地使用效益，实现土地利用由粗放型向集约型的根本转变，将显著提高生态环境质量，有效恢复生态绿化功能，改善城市环境。</w:t>
      </w:r>
    </w:p>
    <w:p w14:paraId="30265437">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征地农民利益保障</w:t>
      </w:r>
    </w:p>
    <w:p w14:paraId="49797D4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依据《省政府关于印发江苏省被征地农民社会保障办法的通知》（苏政发〔2021〕87号）要求，征地后，将被征地农民全部纳入城乡社会保障体系。此外，依据《省政府关于印发江苏省被征地农民社会保障办法的通知》（苏政发〔2021〕87号）及《省人力资源社会保障厅 省财政厅 省自然资源厅 省农业农村厅关于贯彻落实江苏省被征地农民社会保障办法的通知》（苏人社函〔2022〕85号）文件精神，完善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B609EA"/>
    <w:multiLevelType w:val="multilevel"/>
    <w:tmpl w:val="2FB609EA"/>
    <w:lvl w:ilvl="0" w:tentative="0">
      <w:start w:val="1"/>
      <w:numFmt w:val="japaneseCounting"/>
      <w:lvlText w:val="%1、"/>
      <w:lvlJc w:val="left"/>
      <w:pPr>
        <w:ind w:left="960" w:hanging="48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757F6253"/>
    <w:multiLevelType w:val="multilevel"/>
    <w:tmpl w:val="757F6253"/>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709" w:hanging="284"/>
      </w:pPr>
      <w:rPr>
        <w:rFonts w:hint="eastAsia"/>
      </w:rPr>
    </w:lvl>
    <w:lvl w:ilvl="2" w:tentative="0">
      <w:start w:val="1"/>
      <w:numFmt w:val="decimal"/>
      <w:pStyle w:val="14"/>
      <w:suff w:val="nothing"/>
      <w:lvlText w:val="%3、"/>
      <w:lvlJc w:val="left"/>
      <w:pPr>
        <w:ind w:left="-312" w:firstLine="73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ODkyZjhhMDVmZjFlOGY1YWNmZGJmN2E4YjNhNDkifQ=="/>
  </w:docVars>
  <w:rsids>
    <w:rsidRoot w:val="007B0092"/>
    <w:rsid w:val="0000170C"/>
    <w:rsid w:val="000052CA"/>
    <w:rsid w:val="00006DEB"/>
    <w:rsid w:val="00022D5C"/>
    <w:rsid w:val="00024425"/>
    <w:rsid w:val="00034E60"/>
    <w:rsid w:val="00060B9E"/>
    <w:rsid w:val="00076A37"/>
    <w:rsid w:val="0008011A"/>
    <w:rsid w:val="000C3042"/>
    <w:rsid w:val="000D03FD"/>
    <w:rsid w:val="000E4B39"/>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3346"/>
    <w:rsid w:val="004061D4"/>
    <w:rsid w:val="00407116"/>
    <w:rsid w:val="00430FEF"/>
    <w:rsid w:val="00445E7E"/>
    <w:rsid w:val="0045152E"/>
    <w:rsid w:val="00460BCB"/>
    <w:rsid w:val="00466256"/>
    <w:rsid w:val="0048108F"/>
    <w:rsid w:val="00481E02"/>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96448"/>
    <w:rsid w:val="005A0085"/>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65D98"/>
    <w:rsid w:val="00672B32"/>
    <w:rsid w:val="00687C8E"/>
    <w:rsid w:val="00693032"/>
    <w:rsid w:val="006A168B"/>
    <w:rsid w:val="006C02FE"/>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C61DC"/>
    <w:rsid w:val="007E7228"/>
    <w:rsid w:val="00806E98"/>
    <w:rsid w:val="0081255D"/>
    <w:rsid w:val="00871C04"/>
    <w:rsid w:val="00877B66"/>
    <w:rsid w:val="00894F43"/>
    <w:rsid w:val="008A2540"/>
    <w:rsid w:val="008A771B"/>
    <w:rsid w:val="008A79EC"/>
    <w:rsid w:val="008C082E"/>
    <w:rsid w:val="008F126C"/>
    <w:rsid w:val="008F1F23"/>
    <w:rsid w:val="008F4855"/>
    <w:rsid w:val="008F7D11"/>
    <w:rsid w:val="00900970"/>
    <w:rsid w:val="0091491B"/>
    <w:rsid w:val="009305FA"/>
    <w:rsid w:val="00942323"/>
    <w:rsid w:val="00943AAA"/>
    <w:rsid w:val="0096607F"/>
    <w:rsid w:val="00981AE4"/>
    <w:rsid w:val="0098218E"/>
    <w:rsid w:val="00990F2D"/>
    <w:rsid w:val="009956E4"/>
    <w:rsid w:val="009D0D63"/>
    <w:rsid w:val="009D24A8"/>
    <w:rsid w:val="009E328F"/>
    <w:rsid w:val="00A10FF8"/>
    <w:rsid w:val="00A1438C"/>
    <w:rsid w:val="00A458E0"/>
    <w:rsid w:val="00A47084"/>
    <w:rsid w:val="00A57B62"/>
    <w:rsid w:val="00A716D6"/>
    <w:rsid w:val="00A71C19"/>
    <w:rsid w:val="00A82B5B"/>
    <w:rsid w:val="00A831B8"/>
    <w:rsid w:val="00A83C14"/>
    <w:rsid w:val="00A86962"/>
    <w:rsid w:val="00AB6C2F"/>
    <w:rsid w:val="00AC27A5"/>
    <w:rsid w:val="00AF3BB3"/>
    <w:rsid w:val="00AF4E74"/>
    <w:rsid w:val="00B04275"/>
    <w:rsid w:val="00B06C23"/>
    <w:rsid w:val="00B26A0F"/>
    <w:rsid w:val="00B36C59"/>
    <w:rsid w:val="00B47341"/>
    <w:rsid w:val="00B52BD2"/>
    <w:rsid w:val="00B740D0"/>
    <w:rsid w:val="00BA2EC4"/>
    <w:rsid w:val="00BC3979"/>
    <w:rsid w:val="00C0111D"/>
    <w:rsid w:val="00C05827"/>
    <w:rsid w:val="00C17376"/>
    <w:rsid w:val="00C17EA3"/>
    <w:rsid w:val="00C32188"/>
    <w:rsid w:val="00C37C40"/>
    <w:rsid w:val="00C70A95"/>
    <w:rsid w:val="00C84C56"/>
    <w:rsid w:val="00C90325"/>
    <w:rsid w:val="00C903A3"/>
    <w:rsid w:val="00CA7AFE"/>
    <w:rsid w:val="00CB0E1B"/>
    <w:rsid w:val="00CB5009"/>
    <w:rsid w:val="00CC7B6B"/>
    <w:rsid w:val="00CE2376"/>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4539"/>
    <w:rsid w:val="00E85B40"/>
    <w:rsid w:val="00E90FAD"/>
    <w:rsid w:val="00E9238F"/>
    <w:rsid w:val="00EA310E"/>
    <w:rsid w:val="00ED0DFD"/>
    <w:rsid w:val="00ED1427"/>
    <w:rsid w:val="00EF5F87"/>
    <w:rsid w:val="00F03AC3"/>
    <w:rsid w:val="00F23172"/>
    <w:rsid w:val="00F400AF"/>
    <w:rsid w:val="00F44BB3"/>
    <w:rsid w:val="00F6491C"/>
    <w:rsid w:val="00F87F63"/>
    <w:rsid w:val="00F97559"/>
    <w:rsid w:val="00FA3A71"/>
    <w:rsid w:val="00FA790D"/>
    <w:rsid w:val="00FB00F6"/>
    <w:rsid w:val="00FB575D"/>
    <w:rsid w:val="00FC3A7E"/>
    <w:rsid w:val="00FF29BB"/>
    <w:rsid w:val="00FF52A9"/>
    <w:rsid w:val="01F223F4"/>
    <w:rsid w:val="02A55974"/>
    <w:rsid w:val="08565849"/>
    <w:rsid w:val="086205EA"/>
    <w:rsid w:val="0A307EC1"/>
    <w:rsid w:val="0BFD1561"/>
    <w:rsid w:val="18085343"/>
    <w:rsid w:val="19FA1660"/>
    <w:rsid w:val="23516232"/>
    <w:rsid w:val="250870F1"/>
    <w:rsid w:val="584C5A05"/>
    <w:rsid w:val="59C5093B"/>
    <w:rsid w:val="59E960D9"/>
    <w:rsid w:val="69860609"/>
    <w:rsid w:val="6E6F7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numPr>
        <w:ilvl w:val="0"/>
        <w:numId w:val="1"/>
      </w:numPr>
      <w:adjustRightInd w:val="0"/>
      <w:snapToGrid w:val="0"/>
      <w:spacing w:before="160" w:after="160"/>
      <w:outlineLvl w:val="0"/>
    </w:pPr>
    <w:rPr>
      <w:rFonts w:ascii="Times New Roman" w:hAnsi="Times New Roman" w:eastAsia="黑体" w:cs="Times New Roman"/>
      <w:b/>
      <w:bCs/>
      <w:color w:val="000000" w:themeColor="text1"/>
      <w:kern w:val="44"/>
      <w:sz w:val="32"/>
      <w:szCs w:val="44"/>
      <w14:textFill>
        <w14:solidFill>
          <w14:schemeClr w14:val="tx1"/>
        </w14:solidFill>
      </w14:textFill>
    </w:rPr>
  </w:style>
  <w:style w:type="paragraph" w:styleId="3">
    <w:name w:val="heading 2"/>
    <w:basedOn w:val="1"/>
    <w:next w:val="1"/>
    <w:link w:val="13"/>
    <w:qFormat/>
    <w:uiPriority w:val="0"/>
    <w:pPr>
      <w:keepNext/>
      <w:keepLines/>
      <w:numPr>
        <w:ilvl w:val="1"/>
        <w:numId w:val="1"/>
      </w:numPr>
      <w:adjustRightInd w:val="0"/>
      <w:snapToGrid w:val="0"/>
      <w:spacing w:before="50" w:beforeLines="50" w:after="50" w:afterLines="50"/>
      <w:ind w:firstLine="0"/>
      <w:outlineLvl w:val="1"/>
    </w:pPr>
    <w:rPr>
      <w:rFonts w:ascii="仿宋" w:hAnsi="仿宋" w:eastAsia="仿宋" w:cs="Times New Roman"/>
      <w:b/>
      <w:bCs/>
      <w:color w:val="000000" w:themeColor="text1"/>
      <w:sz w:val="32"/>
      <w:szCs w:val="32"/>
      <w14:textFill>
        <w14:solidFill>
          <w14:schemeClr w14:val="tx1"/>
        </w14:solidFill>
      </w14:textFill>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标题 1 字符"/>
    <w:basedOn w:val="8"/>
    <w:link w:val="2"/>
    <w:qFormat/>
    <w:uiPriority w:val="0"/>
    <w:rPr>
      <w:rFonts w:ascii="Times New Roman" w:hAnsi="Times New Roman" w:eastAsia="黑体" w:cs="Times New Roman"/>
      <w:b/>
      <w:bCs/>
      <w:color w:val="000000" w:themeColor="text1"/>
      <w:kern w:val="44"/>
      <w:sz w:val="32"/>
      <w:szCs w:val="44"/>
      <w14:textFill>
        <w14:solidFill>
          <w14:schemeClr w14:val="tx1"/>
        </w14:solidFill>
      </w14:textFill>
    </w:rPr>
  </w:style>
  <w:style w:type="character" w:customStyle="1" w:styleId="13">
    <w:name w:val="标题 2 字符"/>
    <w:basedOn w:val="8"/>
    <w:link w:val="3"/>
    <w:qFormat/>
    <w:uiPriority w:val="0"/>
    <w:rPr>
      <w:rFonts w:ascii="仿宋" w:hAnsi="仿宋" w:eastAsia="仿宋" w:cs="Times New Roman"/>
      <w:b/>
      <w:bCs/>
      <w:color w:val="000000" w:themeColor="text1"/>
      <w:sz w:val="32"/>
      <w:szCs w:val="32"/>
      <w14:textFill>
        <w14:solidFill>
          <w14:schemeClr w14:val="tx1"/>
        </w14:solidFill>
      </w14:textFill>
    </w:rPr>
  </w:style>
  <w:style w:type="paragraph" w:customStyle="1" w:styleId="14">
    <w:name w:val="标题3"/>
    <w:basedOn w:val="1"/>
    <w:qFormat/>
    <w:uiPriority w:val="0"/>
    <w:pPr>
      <w:numPr>
        <w:ilvl w:val="2"/>
        <w:numId w:val="1"/>
      </w:numPr>
      <w:adjustRightInd w:val="0"/>
      <w:snapToGrid w:val="0"/>
      <w:spacing w:before="70" w:beforeLines="70" w:after="70" w:afterLines="70"/>
      <w:ind w:firstLine="0"/>
      <w:outlineLvl w:val="2"/>
    </w:pPr>
    <w:rPr>
      <w:rFonts w:ascii="Times New Roman" w:hAnsi="Times New Roman" w:eastAsia="仿宋_GB2312" w:cs="Times New Roman"/>
      <w:color w:val="000000"/>
      <w:sz w:val="28"/>
      <w:szCs w:val="28"/>
    </w:rPr>
  </w:style>
  <w:style w:type="character" w:customStyle="1" w:styleId="15">
    <w:name w:val="页眉 字符"/>
    <w:basedOn w:val="8"/>
    <w:link w:val="5"/>
    <w:qFormat/>
    <w:uiPriority w:val="99"/>
    <w:rPr>
      <w:sz w:val="18"/>
      <w:szCs w:val="18"/>
    </w:rPr>
  </w:style>
  <w:style w:type="character" w:customStyle="1" w:styleId="16">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2505</Words>
  <Characters>2668</Characters>
  <Lines>21</Lines>
  <Paragraphs>5</Paragraphs>
  <TotalTime>2017</TotalTime>
  <ScaleCrop>false</ScaleCrop>
  <LinksUpToDate>false</LinksUpToDate>
  <CharactersWithSpaces>2675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2023-08-22T02:17:00Z</dcterms:created>
  <dc:creator>u039007</dc:creator>
  <cp:lastModifiedBy>顾誉桦</cp:lastModifiedBy>
  <dcterms:modified xsi:type="dcterms:W3CDTF">2025-09-17T08:33:32Z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