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056E" w:rsidRPr="005325EA" w:rsidRDefault="00F3012E" w:rsidP="005325EA">
      <w:pPr>
        <w:rPr>
          <w:rFonts w:ascii="方正小标宋_GBK" w:eastAsia="方正小标宋_GBK" w:hint="eastAsia"/>
        </w:rPr>
      </w:pPr>
      <w:r w:rsidRPr="005325EA">
        <w:rPr>
          <w:rFonts w:ascii="方正小标宋_GBK" w:eastAsia="方正小标宋_GBK" w:hint="eastAsia"/>
        </w:rPr>
        <w:t>《关于加快构建废弃物循环利用体系的实施</w:t>
      </w:r>
      <w:r w:rsidRPr="005325EA">
        <w:rPr>
          <w:rFonts w:ascii="方正小标宋_GBK" w:eastAsia="方正小标宋_GBK" w:hint="eastAsia"/>
        </w:rPr>
        <w:t>方案</w:t>
      </w:r>
      <w:r w:rsidRPr="005325EA">
        <w:rPr>
          <w:rFonts w:ascii="方正小标宋_GBK" w:eastAsia="方正小标宋_GBK" w:hint="eastAsia"/>
        </w:rPr>
        <w:t>》政策解读</w:t>
      </w:r>
    </w:p>
    <w:p w:rsidR="00E8056E" w:rsidRDefault="00F3012E">
      <w:r>
        <w:rPr>
          <w:rFonts w:hint="eastAsia"/>
        </w:rPr>
        <w:t>近日，市</w:t>
      </w:r>
      <w:r>
        <w:t>政府办公室</w:t>
      </w:r>
      <w:r>
        <w:rPr>
          <w:rFonts w:hint="eastAsia"/>
        </w:rPr>
        <w:t>印发了《关于加快构建废弃物循环利用体系的实施方案》（以下简称《实施方案》），为更好理解和落实《实施方案》有关要求，市发展改革委对《实施方案》进行了解读。</w:t>
      </w:r>
    </w:p>
    <w:p w:rsidR="00E8056E" w:rsidRDefault="00F3012E">
      <w:pPr>
        <w:ind w:firstLine="634"/>
      </w:pPr>
      <w:r>
        <w:rPr>
          <w:rFonts w:hint="eastAsia"/>
          <w:b/>
          <w:bCs/>
        </w:rPr>
        <w:t>一、《实施方案》出台的背景是什么？</w:t>
      </w:r>
    </w:p>
    <w:p w:rsidR="00E8056E" w:rsidRDefault="00F3012E">
      <w:r>
        <w:rPr>
          <w:rFonts w:hint="eastAsia"/>
        </w:rPr>
        <w:t>构建废弃物循环利用体系是实施全面节约战略、积极稳妥推进碳达峰碳中和、加快发展方式绿色转型的重要举措。</w:t>
      </w:r>
      <w:r>
        <w:t>2024</w:t>
      </w:r>
      <w:r>
        <w:t>年</w:t>
      </w:r>
      <w:r>
        <w:t>2</w:t>
      </w:r>
      <w:r>
        <w:t>月，国务院办公厅印发《关于加快构建废弃物循环利用体系的意见》（国办发〔</w:t>
      </w:r>
      <w:r>
        <w:t>2024</w:t>
      </w:r>
      <w:r>
        <w:t>〕</w:t>
      </w:r>
      <w:r>
        <w:t>7</w:t>
      </w:r>
      <w:r>
        <w:t>号），对加快构建废弃物循环利用体系和提升废弃物循环利用水平进行了全面系统部署。</w:t>
      </w:r>
      <w:r>
        <w:t>6</w:t>
      </w:r>
      <w:r>
        <w:t>月，省政府办公厅印发《关于加快构建废弃物循环利用体系的实施意见》（苏政办发〔</w:t>
      </w:r>
      <w:r>
        <w:t>2024</w:t>
      </w:r>
      <w:r>
        <w:t>〕</w:t>
      </w:r>
      <w:r>
        <w:t>23</w:t>
      </w:r>
      <w:r>
        <w:t>号），全面贯彻落实国家意见，并提出了</w:t>
      </w:r>
      <w:r>
        <w:t>“</w:t>
      </w:r>
      <w:r>
        <w:t>各地各部门要完善工作机制，细化目标任务，确保各项政策举措、重点任务落地见效</w:t>
      </w:r>
      <w:r>
        <w:t>”</w:t>
      </w:r>
      <w:r>
        <w:t>。《无锡市推动大规模设备更新和消费</w:t>
      </w:r>
      <w:r>
        <w:rPr>
          <w:rFonts w:hint="eastAsia"/>
        </w:rPr>
        <w:t>品以旧换新实施方案》明确提出“大力推进资源回收循环利用”，要求健全废旧物资回收网络体系，提升重点领域</w:t>
      </w:r>
      <w:r>
        <w:rPr>
          <w:rFonts w:hint="eastAsia"/>
        </w:rPr>
        <w:t>资源回收效能，促进二手商品交易流通和市场发展，提升再制造和梯次加工利用水平，加快再生资源循环利用。为贯彻落实国家、省关于加快构建废弃物循环利用体系的决策部署，进一步畅通完善我市废旧物资回收体系，为推动我市大规模设备更新和消费品以旧换新工作提供坚实支撑，根据市委、市政府领导工作要求，市发展</w:t>
      </w:r>
      <w:r>
        <w:t>改革委</w:t>
      </w:r>
      <w:r>
        <w:rPr>
          <w:rFonts w:hint="eastAsia"/>
        </w:rPr>
        <w:t>研究</w:t>
      </w:r>
      <w:r>
        <w:t>起草了</w:t>
      </w:r>
      <w:r>
        <w:rPr>
          <w:rFonts w:hint="eastAsia"/>
        </w:rPr>
        <w:t>《关于加快构建废弃物循环利用体系的实施方案》（以下简称《实</w:t>
      </w:r>
      <w:r>
        <w:rPr>
          <w:rFonts w:hint="eastAsia"/>
        </w:rPr>
        <w:lastRenderedPageBreak/>
        <w:t>施方案》）。</w:t>
      </w:r>
    </w:p>
    <w:p w:rsidR="00E8056E" w:rsidRDefault="00F3012E">
      <w:pPr>
        <w:ind w:firstLine="634"/>
      </w:pPr>
      <w:r>
        <w:rPr>
          <w:rFonts w:hint="eastAsia"/>
          <w:b/>
          <w:bCs/>
        </w:rPr>
        <w:t>二、《实施方案》提出了哪些目标？</w:t>
      </w:r>
    </w:p>
    <w:p w:rsidR="00E8056E" w:rsidRDefault="00F3012E">
      <w:r>
        <w:rPr>
          <w:rFonts w:hint="eastAsia"/>
        </w:rPr>
        <w:t>《实施方案》以问题为导向，明确了</w:t>
      </w:r>
      <w:r>
        <w:rPr>
          <w:rFonts w:hint="eastAsia"/>
        </w:rPr>
        <w:t>2027</w:t>
      </w:r>
      <w:r>
        <w:rPr>
          <w:rFonts w:hint="eastAsia"/>
        </w:rPr>
        <w:t>年和</w:t>
      </w:r>
      <w:r>
        <w:rPr>
          <w:rFonts w:hint="eastAsia"/>
        </w:rPr>
        <w:t>2030</w:t>
      </w:r>
      <w:r>
        <w:rPr>
          <w:rFonts w:hint="eastAsia"/>
        </w:rPr>
        <w:t>年两个阶段工作目标。</w:t>
      </w:r>
    </w:p>
    <w:p w:rsidR="00E8056E" w:rsidRDefault="00F3012E">
      <w:r>
        <w:rPr>
          <w:rFonts w:hint="eastAsia"/>
        </w:rPr>
        <w:t>到</w:t>
      </w:r>
      <w:r>
        <w:t>2027</w:t>
      </w:r>
      <w:r>
        <w:t>年，覆盖各领域、各</w:t>
      </w:r>
      <w:r>
        <w:t>环节的废旧物资循环利用体系基本建成，主要废弃物循环利用取得积极进展，资源循环利用水平进一步提升，废旧物资回收网络实现城镇全覆盖、农村基本覆盖。新增大宗固体废弃物综合利用率达到</w:t>
      </w:r>
      <w:r>
        <w:t>60%</w:t>
      </w:r>
      <w:r>
        <w:t>以上，废钢铁、废铜、废铝、废铅、废锌、废纸、废塑料、废橡胶、废玻璃等再生资源主要品种回收率达到</w:t>
      </w:r>
      <w:r>
        <w:t>80%</w:t>
      </w:r>
      <w:r>
        <w:t>以上，报废汽车年规范回收拆解量</w:t>
      </w:r>
      <w:r>
        <w:t>6.4</w:t>
      </w:r>
      <w:r>
        <w:t>万辆左右，废弃电池年回收拆解处理能力达</w:t>
      </w:r>
      <w:r>
        <w:t>20</w:t>
      </w:r>
      <w:r>
        <w:t>万吨左右，废弃电器电子产品回收利用水平不断提高。</w:t>
      </w:r>
    </w:p>
    <w:p w:rsidR="00E8056E" w:rsidRDefault="00F3012E">
      <w:r>
        <w:rPr>
          <w:rFonts w:hint="eastAsia"/>
        </w:rPr>
        <w:t>到</w:t>
      </w:r>
      <w:r>
        <w:t>2030</w:t>
      </w:r>
      <w:r>
        <w:t>年，覆盖全面、运转高效、规范有序的废弃物循环利用体系全面建立，各类废弃物资源价值得到充分挖掘，</w:t>
      </w:r>
      <w:r>
        <w:t>再生材料在原材料供给中的占比进一步提升，资源循环利用产业规模、质量</w:t>
      </w:r>
      <w:r>
        <w:rPr>
          <w:rFonts w:hint="eastAsia"/>
        </w:rPr>
        <w:t>显著提高</w:t>
      </w:r>
      <w:r>
        <w:t>，废弃物循环</w:t>
      </w:r>
      <w:bookmarkStart w:id="0" w:name="_GoBack"/>
      <w:bookmarkEnd w:id="0"/>
      <w:r>
        <w:t>利用水平总体居于全国前列。</w:t>
      </w:r>
    </w:p>
    <w:p w:rsidR="00E8056E" w:rsidRDefault="00F3012E">
      <w:pPr>
        <w:ind w:firstLine="634"/>
      </w:pPr>
      <w:r>
        <w:rPr>
          <w:rFonts w:hint="eastAsia"/>
          <w:b/>
          <w:bCs/>
        </w:rPr>
        <w:t>三、《实施方案》主要内容有哪些？</w:t>
      </w:r>
    </w:p>
    <w:p w:rsidR="00E8056E" w:rsidRDefault="00F3012E">
      <w:r>
        <w:rPr>
          <w:rFonts w:hint="eastAsia"/>
        </w:rPr>
        <w:t>《实施方案》分为</w:t>
      </w:r>
      <w:r>
        <w:t>6</w:t>
      </w:r>
      <w:r>
        <w:t>个部分，</w:t>
      </w:r>
      <w:r>
        <w:t>26</w:t>
      </w:r>
      <w:r>
        <w:t>项具体工作举措，全面细化提出了落实国家、省《实施意见》中各项工作目标任务的政策举措和重点任务，体现了任务明确、举措清晰、支撑保障有力、可操作性强等特点，为我市加快构建废弃物循环利用体系提供了根本依据。</w:t>
      </w:r>
    </w:p>
    <w:p w:rsidR="00E8056E" w:rsidRDefault="00F3012E">
      <w:r>
        <w:rPr>
          <w:rFonts w:hint="eastAsia"/>
        </w:rPr>
        <w:lastRenderedPageBreak/>
        <w:t>第一部分，总体要求。围绕加快构建覆盖全面、运转高效、规范有序的废弃物循环利用体系，分别提出了我市</w:t>
      </w:r>
      <w:r>
        <w:t>2027</w:t>
      </w:r>
      <w:r>
        <w:t>年和</w:t>
      </w:r>
      <w:r>
        <w:t>2030</w:t>
      </w:r>
      <w:r>
        <w:t>年两个阶段性年度</w:t>
      </w:r>
      <w:r>
        <w:t>目标。</w:t>
      </w:r>
    </w:p>
    <w:p w:rsidR="00E8056E" w:rsidRDefault="00F3012E">
      <w:r>
        <w:rPr>
          <w:rFonts w:hint="eastAsia"/>
        </w:rPr>
        <w:t>第二部分，全面推进废弃物精细管理和高效回收。主要包括完善工业废弃物精细管理体系、完善农林废弃物回收处理体系、完善社会源废弃物分类收运体系等</w:t>
      </w:r>
      <w:r>
        <w:t>3</w:t>
      </w:r>
      <w:r>
        <w:t>项任务。</w:t>
      </w:r>
    </w:p>
    <w:p w:rsidR="00E8056E" w:rsidRDefault="00F3012E">
      <w:r>
        <w:rPr>
          <w:rFonts w:hint="eastAsia"/>
        </w:rPr>
        <w:t>第三部分，持续提升废弃物资源化再利用水平。主要包括提升大宗固体废弃物综合利用水平、提升再生资源高效利用水平、提升二手商品交易便利化、规范化水平、提升再制造产业高质量发展水平、提升废弃物能源化利用水平、提升资源循环型生产模式发展水平等</w:t>
      </w:r>
      <w:r>
        <w:t>6</w:t>
      </w:r>
      <w:r>
        <w:t>项任务。</w:t>
      </w:r>
    </w:p>
    <w:p w:rsidR="00E8056E" w:rsidRDefault="00F3012E">
      <w:r>
        <w:rPr>
          <w:rFonts w:hint="eastAsia"/>
        </w:rPr>
        <w:t>第四部分，分类推动重点产品设备回收循环利用。主要包括加快推动重点领域废旧设备回收循环利用、加快推动废旧动力电池</w:t>
      </w:r>
      <w:r>
        <w:rPr>
          <w:rFonts w:hint="eastAsia"/>
        </w:rPr>
        <w:t>循环利用、加快推动废旧汽车和电动自行车回收利用、加快推动废弃电器电子产品回收利用、加快推动新型产业废弃物循环利用、加快推动低值可回收物循环利用等</w:t>
      </w:r>
      <w:r>
        <w:t>6</w:t>
      </w:r>
      <w:r>
        <w:t>项任务。</w:t>
      </w:r>
    </w:p>
    <w:p w:rsidR="00E8056E" w:rsidRDefault="00F3012E">
      <w:r>
        <w:rPr>
          <w:rFonts w:hint="eastAsia"/>
        </w:rPr>
        <w:t>第五部分，培育壮大资源循环利用产业。主要包括优化资源循环利用产业布局、打造资源循环利用产业链条、加强行业骨干企业培育、规范行业经营秩序等</w:t>
      </w:r>
      <w:r>
        <w:t>4</w:t>
      </w:r>
      <w:r>
        <w:t>项任务。</w:t>
      </w:r>
    </w:p>
    <w:p w:rsidR="00E8056E" w:rsidRDefault="00F3012E">
      <w:r>
        <w:rPr>
          <w:rFonts w:hint="eastAsia"/>
        </w:rPr>
        <w:t>第六部分，保障措施。主要提出了强化组织领导、加大财税金融支持力度、强化要素保障、加快科技创新、完善标准规范和统计制度、推广应用再生材料和产品、营造良好氛围等</w:t>
      </w:r>
      <w:r>
        <w:t>7</w:t>
      </w:r>
      <w:r>
        <w:t>项保障</w:t>
      </w:r>
      <w:r>
        <w:lastRenderedPageBreak/>
        <w:t>措施。</w:t>
      </w:r>
    </w:p>
    <w:sectPr w:rsidR="00E8056E" w:rsidSect="00E8056E">
      <w:headerReference w:type="even" r:id="rId7"/>
      <w:headerReference w:type="default" r:id="rId8"/>
      <w:footerReference w:type="even" r:id="rId9"/>
      <w:footerReference w:type="default" r:id="rId10"/>
      <w:headerReference w:type="first" r:id="rId11"/>
      <w:footerReference w:type="first" r:id="rId12"/>
      <w:pgSz w:w="11906" w:h="16838"/>
      <w:pgMar w:top="2098" w:right="1474" w:bottom="1985" w:left="1588" w:header="851" w:footer="1310" w:gutter="0"/>
      <w:cols w:space="425"/>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012E" w:rsidRDefault="00F3012E" w:rsidP="005325EA">
      <w:pPr>
        <w:ind w:firstLine="640"/>
      </w:pPr>
      <w:r>
        <w:separator/>
      </w:r>
    </w:p>
  </w:endnote>
  <w:endnote w:type="continuationSeparator" w:id="0">
    <w:p w:rsidR="00F3012E" w:rsidRDefault="00F3012E" w:rsidP="005325EA">
      <w:pPr>
        <w:ind w:firstLine="64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小标宋简体">
    <w:charset w:val="86"/>
    <w:family w:val="auto"/>
    <w:pitch w:val="default"/>
    <w:sig w:usb0="00000001" w:usb1="080E0000" w:usb2="0000000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56E" w:rsidRDefault="00F3012E">
    <w:pPr>
      <w:pStyle w:val="a3"/>
      <w:ind w:firstLine="360"/>
    </w:pPr>
    <w:r>
      <w:rPr>
        <w:rFonts w:asciiTheme="minorEastAsia" w:eastAsiaTheme="minorEastAsia" w:hAnsiTheme="minorEastAsia"/>
      </w:rPr>
      <w:t>—</w:t>
    </w:r>
    <w:r>
      <w:rPr>
        <w:rFonts w:ascii="宋体" w:eastAsia="宋体" w:hAnsi="宋体" w:hint="eastAsia"/>
      </w:rPr>
      <w:t xml:space="preserve"> </w:t>
    </w:r>
    <w:r w:rsidR="00E8056E">
      <w:fldChar w:fldCharType="begin"/>
    </w:r>
    <w:r>
      <w:instrText>PAGE   \* MERGEFORMAT</w:instrText>
    </w:r>
    <w:r w:rsidR="00E8056E">
      <w:fldChar w:fldCharType="separate"/>
    </w:r>
    <w:r>
      <w:rPr>
        <w:lang w:val="zh-CN"/>
      </w:rPr>
      <w:t>2</w:t>
    </w:r>
    <w:r w:rsidR="00E8056E">
      <w:fldChar w:fldCharType="end"/>
    </w:r>
    <w:r>
      <w:rPr>
        <w:rFonts w:ascii="宋体" w:eastAsia="宋体" w:hAnsi="宋体"/>
      </w:rPr>
      <w:t xml:space="preserve"> </w:t>
    </w:r>
    <w:r>
      <w:rPr>
        <w:rFonts w:asciiTheme="minorEastAsia" w:eastAsiaTheme="minorEastAsia" w:hAnsiTheme="minorEastAsia"/>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56E" w:rsidRDefault="00F3012E">
    <w:pPr>
      <w:pStyle w:val="a3"/>
      <w:ind w:rightChars="100" w:right="320" w:firstLineChars="0" w:firstLine="0"/>
      <w:jc w:val="center"/>
      <w:rPr>
        <w:rFonts w:asciiTheme="minorEastAsia" w:eastAsiaTheme="minorEastAsia" w:hAnsiTheme="minorEastAsia" w:cs="Times New Roman"/>
        <w:sz w:val="28"/>
        <w:szCs w:val="28"/>
      </w:rPr>
    </w:pPr>
    <w:r>
      <w:rPr>
        <w:rFonts w:asciiTheme="minorEastAsia" w:eastAsiaTheme="minorEastAsia" w:hAnsiTheme="minorEastAsia" w:cs="Times New Roman"/>
        <w:sz w:val="28"/>
        <w:szCs w:val="28"/>
      </w:rPr>
      <w:t xml:space="preserve">— </w:t>
    </w:r>
    <w:r w:rsidR="00E8056E">
      <w:rPr>
        <w:rFonts w:ascii="Times New Roman" w:eastAsiaTheme="minorEastAsia" w:hAnsi="Times New Roman" w:cs="Times New Roman"/>
        <w:sz w:val="28"/>
        <w:szCs w:val="28"/>
      </w:rPr>
      <w:fldChar w:fldCharType="begin"/>
    </w:r>
    <w:r>
      <w:rPr>
        <w:rFonts w:ascii="Times New Roman" w:eastAsiaTheme="minorEastAsia" w:hAnsi="Times New Roman" w:cs="Times New Roman"/>
        <w:sz w:val="28"/>
        <w:szCs w:val="28"/>
      </w:rPr>
      <w:instrText>PAGE   \* MERGEFORMAT</w:instrText>
    </w:r>
    <w:r w:rsidR="00E8056E">
      <w:rPr>
        <w:rFonts w:ascii="Times New Roman" w:eastAsiaTheme="minorEastAsia" w:hAnsi="Times New Roman" w:cs="Times New Roman"/>
        <w:sz w:val="28"/>
        <w:szCs w:val="28"/>
      </w:rPr>
      <w:fldChar w:fldCharType="separate"/>
    </w:r>
    <w:r w:rsidR="005325EA">
      <w:rPr>
        <w:rFonts w:ascii="Times New Roman" w:eastAsiaTheme="minorEastAsia" w:hAnsi="Times New Roman" w:cs="Times New Roman"/>
        <w:noProof/>
        <w:sz w:val="28"/>
        <w:szCs w:val="28"/>
      </w:rPr>
      <w:t>2</w:t>
    </w:r>
    <w:r w:rsidR="00E8056E">
      <w:rPr>
        <w:rFonts w:ascii="Times New Roman" w:eastAsiaTheme="minorEastAsia" w:hAnsi="Times New Roman" w:cs="Times New Roman"/>
        <w:sz w:val="28"/>
        <w:szCs w:val="28"/>
      </w:rPr>
      <w:fldChar w:fldCharType="end"/>
    </w:r>
    <w:r>
      <w:rPr>
        <w:rFonts w:asciiTheme="minorEastAsia" w:eastAsiaTheme="minorEastAsia" w:hAnsiTheme="minorEastAsia" w:cs="Times New Roman"/>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56E" w:rsidRDefault="00E8056E">
    <w:pPr>
      <w:pStyle w:val="a3"/>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012E" w:rsidRDefault="00F3012E" w:rsidP="005325EA">
      <w:pPr>
        <w:ind w:firstLine="640"/>
      </w:pPr>
      <w:r>
        <w:separator/>
      </w:r>
    </w:p>
  </w:footnote>
  <w:footnote w:type="continuationSeparator" w:id="0">
    <w:p w:rsidR="00F3012E" w:rsidRDefault="00F3012E" w:rsidP="005325EA">
      <w:pPr>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56E" w:rsidRDefault="00E8056E">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56E" w:rsidRDefault="00E8056E">
    <w:pPr>
      <w:pStyle w:val="a4"/>
      <w:pBdr>
        <w:bottom w:val="none" w:sz="0" w:space="0" w:color="auto"/>
      </w:pBdr>
      <w:ind w:firstLineChars="0" w:firstLine="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56E" w:rsidRDefault="00E8056E">
    <w:pPr>
      <w:pStyle w:val="a4"/>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defaultTabStop w:val="420"/>
  <w:drawingGridHorizontalSpacing w:val="158"/>
  <w:drawingGridVerticalSpacing w:val="579"/>
  <w:displayHorizontalDrawingGridEvery w:val="0"/>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DFkZTlmNjllMmEyZjJhNjQ2M2U1ZmY0NjA3MTJjMWYifQ=="/>
  </w:docVars>
  <w:rsids>
    <w:rsidRoot w:val="007C1683"/>
    <w:rsid w:val="002F5F75"/>
    <w:rsid w:val="00333DDC"/>
    <w:rsid w:val="00392A62"/>
    <w:rsid w:val="00511E72"/>
    <w:rsid w:val="005325EA"/>
    <w:rsid w:val="00571328"/>
    <w:rsid w:val="005B6A16"/>
    <w:rsid w:val="00676E35"/>
    <w:rsid w:val="006A168D"/>
    <w:rsid w:val="006B7396"/>
    <w:rsid w:val="007143C4"/>
    <w:rsid w:val="007C1683"/>
    <w:rsid w:val="007C2A87"/>
    <w:rsid w:val="008B73F2"/>
    <w:rsid w:val="008F0D02"/>
    <w:rsid w:val="00942F30"/>
    <w:rsid w:val="00954C3D"/>
    <w:rsid w:val="009C26FD"/>
    <w:rsid w:val="00A11CD4"/>
    <w:rsid w:val="00CB5E05"/>
    <w:rsid w:val="00D612B2"/>
    <w:rsid w:val="00D6213D"/>
    <w:rsid w:val="00D7441D"/>
    <w:rsid w:val="00DA0845"/>
    <w:rsid w:val="00E8056E"/>
    <w:rsid w:val="00EF3F75"/>
    <w:rsid w:val="00F3012E"/>
    <w:rsid w:val="00F77827"/>
    <w:rsid w:val="61700D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056E"/>
    <w:pPr>
      <w:widowControl w:val="0"/>
      <w:ind w:firstLineChars="200" w:firstLine="632"/>
      <w:jc w:val="both"/>
    </w:pPr>
    <w:rPr>
      <w:rFonts w:ascii="方正仿宋_GBK" w:eastAsia="方正仿宋_GBK" w:hAnsi="黑体" w:cs="方正仿宋_GBK"/>
      <w:kern w:val="2"/>
      <w:sz w:val="32"/>
      <w:szCs w:val="21"/>
    </w:rPr>
  </w:style>
  <w:style w:type="paragraph" w:styleId="1">
    <w:name w:val="heading 1"/>
    <w:basedOn w:val="a"/>
    <w:next w:val="a"/>
    <w:link w:val="1Char"/>
    <w:uiPriority w:val="9"/>
    <w:qFormat/>
    <w:rsid w:val="00E8056E"/>
    <w:pPr>
      <w:keepNext/>
      <w:keepLines/>
      <w:spacing w:line="620" w:lineRule="exact"/>
      <w:jc w:val="center"/>
      <w:outlineLvl w:val="0"/>
    </w:pPr>
    <w:rPr>
      <w:rFonts w:ascii="方正小标宋_GBK" w:eastAsia="方正小标宋简体" w:hAnsi="方正小标宋_GBK"/>
      <w:bCs/>
      <w:kern w:val="44"/>
      <w:sz w:val="44"/>
      <w:szCs w:val="44"/>
    </w:rPr>
  </w:style>
  <w:style w:type="paragraph" w:styleId="2">
    <w:name w:val="heading 2"/>
    <w:basedOn w:val="a"/>
    <w:next w:val="a"/>
    <w:link w:val="2Char"/>
    <w:uiPriority w:val="9"/>
    <w:unhideWhenUsed/>
    <w:qFormat/>
    <w:rsid w:val="00E8056E"/>
    <w:pPr>
      <w:outlineLvl w:val="1"/>
    </w:pPr>
    <w:rPr>
      <w:rFonts w:ascii="方正黑体_GBK" w:eastAsia="方正黑体_GBK" w:hAnsi="方正黑体_GBK"/>
      <w:bCs/>
      <w:szCs w:val="32"/>
    </w:rPr>
  </w:style>
  <w:style w:type="paragraph" w:styleId="3">
    <w:name w:val="heading 3"/>
    <w:basedOn w:val="a"/>
    <w:next w:val="a"/>
    <w:link w:val="3Char"/>
    <w:uiPriority w:val="9"/>
    <w:qFormat/>
    <w:rsid w:val="00E8056E"/>
    <w:pPr>
      <w:outlineLvl w:val="2"/>
    </w:pPr>
    <w:rPr>
      <w:rFonts w:ascii="方正楷体_GBK" w:eastAsia="方正楷体_GBK" w:hAnsi="方正楷体_GBK"/>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E8056E"/>
    <w:pPr>
      <w:tabs>
        <w:tab w:val="center" w:pos="4153"/>
        <w:tab w:val="right" w:pos="8306"/>
      </w:tabs>
      <w:snapToGrid w:val="0"/>
      <w:jc w:val="left"/>
    </w:pPr>
    <w:rPr>
      <w:sz w:val="18"/>
      <w:szCs w:val="18"/>
    </w:rPr>
  </w:style>
  <w:style w:type="paragraph" w:styleId="a4">
    <w:name w:val="header"/>
    <w:basedOn w:val="a"/>
    <w:link w:val="Char0"/>
    <w:uiPriority w:val="99"/>
    <w:unhideWhenUsed/>
    <w:rsid w:val="00E8056E"/>
    <w:pPr>
      <w:pBdr>
        <w:bottom w:val="single" w:sz="6" w:space="1" w:color="auto"/>
      </w:pBdr>
      <w:tabs>
        <w:tab w:val="center" w:pos="4153"/>
        <w:tab w:val="right" w:pos="8306"/>
      </w:tabs>
      <w:snapToGrid w:val="0"/>
      <w:jc w:val="center"/>
    </w:pPr>
    <w:rPr>
      <w:sz w:val="18"/>
      <w:szCs w:val="18"/>
    </w:rPr>
  </w:style>
  <w:style w:type="character" w:customStyle="1" w:styleId="1Char">
    <w:name w:val="标题 1 Char"/>
    <w:link w:val="1"/>
    <w:uiPriority w:val="9"/>
    <w:rsid w:val="00E8056E"/>
    <w:rPr>
      <w:rFonts w:ascii="方正小标宋_GBK" w:eastAsia="方正小标宋简体" w:hAnsi="方正小标宋_GBK"/>
      <w:bCs/>
      <w:kern w:val="44"/>
      <w:sz w:val="44"/>
      <w:szCs w:val="44"/>
    </w:rPr>
  </w:style>
  <w:style w:type="character" w:customStyle="1" w:styleId="2Char">
    <w:name w:val="标题 2 Char"/>
    <w:link w:val="2"/>
    <w:uiPriority w:val="9"/>
    <w:rsid w:val="00E8056E"/>
    <w:rPr>
      <w:rFonts w:ascii="方正黑体_GBK" w:eastAsia="方正黑体_GBK" w:hAnsi="方正黑体_GBK"/>
      <w:bCs/>
      <w:kern w:val="2"/>
      <w:sz w:val="32"/>
      <w:szCs w:val="32"/>
    </w:rPr>
  </w:style>
  <w:style w:type="character" w:customStyle="1" w:styleId="3Char">
    <w:name w:val="标题 3 Char"/>
    <w:link w:val="3"/>
    <w:uiPriority w:val="9"/>
    <w:rsid w:val="00E8056E"/>
    <w:rPr>
      <w:rFonts w:ascii="方正楷体_GBK" w:eastAsia="方正楷体_GBK" w:hAnsi="方正楷体_GBK"/>
      <w:bCs/>
      <w:kern w:val="2"/>
      <w:sz w:val="32"/>
      <w:szCs w:val="32"/>
    </w:rPr>
  </w:style>
  <w:style w:type="character" w:customStyle="1" w:styleId="Char0">
    <w:name w:val="页眉 Char"/>
    <w:link w:val="a4"/>
    <w:uiPriority w:val="99"/>
    <w:rsid w:val="00E8056E"/>
    <w:rPr>
      <w:rFonts w:ascii="Times New Roman" w:eastAsia="仿宋_GB2312" w:hAnsi="Times New Roman"/>
      <w:kern w:val="2"/>
      <w:sz w:val="18"/>
      <w:szCs w:val="18"/>
    </w:rPr>
  </w:style>
  <w:style w:type="character" w:customStyle="1" w:styleId="Char">
    <w:name w:val="页脚 Char"/>
    <w:link w:val="a3"/>
    <w:uiPriority w:val="99"/>
    <w:rsid w:val="00E8056E"/>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cuments\&#33258;&#23450;&#20041;%20Office%20&#27169;&#26495;\&#20010;&#20154;&#27169;&#26495;\&#20844;&#25991;&#27169;&#26495;%20&#26032;&#26041;&#2749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28C19A6A-B6E2-4FE9-B0CC-A48B46CEF7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公文模板 新方正</Template>
  <TotalTime>1</TotalTime>
  <Pages>4</Pages>
  <Words>253</Words>
  <Characters>1446</Characters>
  <Application>Microsoft Office Word</Application>
  <DocSecurity>0</DocSecurity>
  <Lines>12</Lines>
  <Paragraphs>3</Paragraphs>
  <ScaleCrop>false</ScaleCrop>
  <Company/>
  <LinksUpToDate>false</LinksUpToDate>
  <CharactersWithSpaces>1696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王瑜东</dc:creator>
  <cp:lastModifiedBy>刘翼洲</cp:lastModifiedBy>
  <cp:revision>2</cp:revision>
  <dcterms:created xsi:type="dcterms:W3CDTF">2024-09-24T02:49:00Z</dcterms:created>
  <dcterms:modified xsi:type="dcterms:W3CDTF">2024-09-24T02:49:00Z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1EB6AF0A29D3400FAF4624E9D2A0B104_12</vt:lpwstr>
  </property>
</Properties>
</file>