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65FB68" w14:textId="77777777" w:rsidR="00CD0B7E" w:rsidRPr="00CD0B7E" w:rsidRDefault="00CD0B7E" w:rsidP="00CD0B7E">
      <w:pPr>
        <w:pStyle w:val="p"/>
        <w:shd w:val="clear" w:color="auto" w:fill="FFFFFF"/>
        <w:spacing w:before="0" w:beforeAutospacing="0" w:after="0" w:afterAutospacing="0" w:line="560" w:lineRule="atLeast"/>
        <w:jc w:val="center"/>
        <w:rPr>
          <w:color w:val="000000" w:themeColor="text1"/>
          <w:sz w:val="21"/>
          <w:szCs w:val="21"/>
        </w:rPr>
      </w:pPr>
      <w:bookmarkStart w:id="0" w:name="_GoBack"/>
      <w:r w:rsidRPr="00CD0B7E">
        <w:rPr>
          <w:rFonts w:hint="eastAsia"/>
          <w:b/>
          <w:bCs/>
          <w:color w:val="000000" w:themeColor="text1"/>
          <w:sz w:val="44"/>
          <w:szCs w:val="44"/>
        </w:rPr>
        <w:t>中华人民共和国应急管理部令</w:t>
      </w:r>
    </w:p>
    <w:p w14:paraId="436AC00A" w14:textId="77777777" w:rsidR="00CD0B7E" w:rsidRPr="00CD0B7E" w:rsidRDefault="00CD0B7E" w:rsidP="00CD0B7E">
      <w:pPr>
        <w:pStyle w:val="p"/>
        <w:shd w:val="clear" w:color="auto" w:fill="FFFFFF"/>
        <w:spacing w:before="0" w:beforeAutospacing="0" w:after="0" w:afterAutospacing="0" w:line="560" w:lineRule="atLeast"/>
        <w:jc w:val="center"/>
        <w:rPr>
          <w:color w:val="000000" w:themeColor="text1"/>
          <w:sz w:val="21"/>
          <w:szCs w:val="21"/>
        </w:rPr>
      </w:pPr>
      <w:r w:rsidRPr="00CD0B7E">
        <w:rPr>
          <w:rFonts w:hint="eastAsia"/>
          <w:color w:val="000000" w:themeColor="text1"/>
          <w:sz w:val="32"/>
          <w:szCs w:val="32"/>
        </w:rPr>
        <w:t>第11号</w:t>
      </w:r>
    </w:p>
    <w:p w14:paraId="715611C0" w14:textId="77777777" w:rsidR="00CD0B7E" w:rsidRPr="00CD0B7E" w:rsidRDefault="00CD0B7E" w:rsidP="00CD0B7E">
      <w:pPr>
        <w:pStyle w:val="p"/>
        <w:shd w:val="clear" w:color="auto" w:fill="FFFFFF"/>
        <w:spacing w:before="0" w:beforeAutospacing="0" w:after="0" w:afterAutospacing="0" w:line="560" w:lineRule="atLeast"/>
        <w:ind w:left="720" w:firstLine="640"/>
        <w:rPr>
          <w:color w:val="000000" w:themeColor="text1"/>
          <w:sz w:val="21"/>
          <w:szCs w:val="21"/>
        </w:rPr>
      </w:pPr>
      <w:r w:rsidRPr="00CD0B7E">
        <w:rPr>
          <w:rFonts w:hint="eastAsia"/>
          <w:color w:val="000000" w:themeColor="text1"/>
          <w:sz w:val="32"/>
          <w:szCs w:val="32"/>
        </w:rPr>
        <w:t> </w:t>
      </w:r>
    </w:p>
    <w:p w14:paraId="0DF3F5F4" w14:textId="77777777" w:rsidR="00CD0B7E" w:rsidRPr="00CD0B7E" w:rsidRDefault="00CD0B7E" w:rsidP="00CD0B7E">
      <w:pPr>
        <w:pStyle w:val="p"/>
        <w:shd w:val="clear" w:color="auto" w:fill="FFFFFF"/>
        <w:spacing w:before="0" w:beforeAutospacing="0" w:after="0" w:afterAutospacing="0" w:line="560" w:lineRule="atLeast"/>
        <w:ind w:firstLine="640"/>
        <w:jc w:val="both"/>
        <w:rPr>
          <w:color w:val="000000" w:themeColor="text1"/>
          <w:sz w:val="21"/>
          <w:szCs w:val="21"/>
        </w:rPr>
      </w:pPr>
      <w:r w:rsidRPr="00CD0B7E">
        <w:rPr>
          <w:rFonts w:hint="eastAsia"/>
          <w:color w:val="000000" w:themeColor="text1"/>
          <w:sz w:val="32"/>
          <w:szCs w:val="32"/>
        </w:rPr>
        <w:t>《安全生产严重失信主体名单管理办法》已经2023年7月17日应急管理部第16次部务会议审议通过，现予公布，自2023年10月1日起施行。</w:t>
      </w:r>
    </w:p>
    <w:p w14:paraId="632F4736" w14:textId="77777777" w:rsidR="00CD0B7E" w:rsidRPr="00CD0B7E" w:rsidRDefault="00CD0B7E" w:rsidP="00CD0B7E">
      <w:pPr>
        <w:pStyle w:val="p"/>
        <w:shd w:val="clear" w:color="auto" w:fill="FFFFFF"/>
        <w:spacing w:before="0" w:beforeAutospacing="0" w:after="0" w:afterAutospacing="0" w:line="560" w:lineRule="atLeast"/>
        <w:jc w:val="both"/>
        <w:rPr>
          <w:color w:val="000000" w:themeColor="text1"/>
          <w:sz w:val="21"/>
          <w:szCs w:val="21"/>
        </w:rPr>
      </w:pPr>
      <w:r w:rsidRPr="00CD0B7E">
        <w:rPr>
          <w:rFonts w:hint="eastAsia"/>
          <w:color w:val="000000" w:themeColor="text1"/>
          <w:sz w:val="32"/>
          <w:szCs w:val="32"/>
        </w:rPr>
        <w:t> </w:t>
      </w:r>
    </w:p>
    <w:p w14:paraId="27CBDDF3" w14:textId="77777777" w:rsidR="00CD0B7E" w:rsidRPr="00CD0B7E" w:rsidRDefault="00CD0B7E" w:rsidP="00CD0B7E">
      <w:pPr>
        <w:pStyle w:val="p"/>
        <w:shd w:val="clear" w:color="auto" w:fill="FFFFFF"/>
        <w:spacing w:before="0" w:beforeAutospacing="0" w:after="0" w:afterAutospacing="0" w:line="560" w:lineRule="atLeast"/>
        <w:jc w:val="both"/>
        <w:rPr>
          <w:color w:val="000000" w:themeColor="text1"/>
          <w:sz w:val="21"/>
          <w:szCs w:val="21"/>
        </w:rPr>
      </w:pPr>
      <w:r w:rsidRPr="00CD0B7E">
        <w:rPr>
          <w:rFonts w:hint="eastAsia"/>
          <w:color w:val="000000" w:themeColor="text1"/>
          <w:sz w:val="32"/>
          <w:szCs w:val="32"/>
        </w:rPr>
        <w:t> </w:t>
      </w:r>
    </w:p>
    <w:p w14:paraId="530E8C5E" w14:textId="77777777" w:rsidR="00CD0B7E" w:rsidRPr="00CD0B7E" w:rsidRDefault="00CD0B7E" w:rsidP="00CD0B7E">
      <w:pPr>
        <w:pStyle w:val="p"/>
        <w:shd w:val="clear" w:color="auto" w:fill="FFFFFF"/>
        <w:spacing w:before="0" w:beforeAutospacing="0" w:after="0" w:afterAutospacing="0" w:line="560" w:lineRule="atLeast"/>
        <w:ind w:firstLine="5280"/>
        <w:jc w:val="right"/>
        <w:rPr>
          <w:color w:val="000000" w:themeColor="text1"/>
          <w:sz w:val="21"/>
          <w:szCs w:val="21"/>
        </w:rPr>
      </w:pPr>
      <w:r w:rsidRPr="00CD0B7E">
        <w:rPr>
          <w:rFonts w:hint="eastAsia"/>
          <w:color w:val="000000" w:themeColor="text1"/>
          <w:sz w:val="32"/>
          <w:szCs w:val="32"/>
        </w:rPr>
        <w:t>部长 王祥喜</w:t>
      </w:r>
    </w:p>
    <w:p w14:paraId="702BCADC" w14:textId="77777777" w:rsidR="00CD0B7E" w:rsidRPr="00CD0B7E" w:rsidRDefault="00CD0B7E" w:rsidP="00CD0B7E">
      <w:pPr>
        <w:pStyle w:val="p"/>
        <w:shd w:val="clear" w:color="auto" w:fill="FFFFFF"/>
        <w:spacing w:before="0" w:beforeAutospacing="0" w:after="0" w:afterAutospacing="0" w:line="560" w:lineRule="atLeast"/>
        <w:ind w:firstLine="4960"/>
        <w:jc w:val="right"/>
        <w:rPr>
          <w:color w:val="000000" w:themeColor="text1"/>
          <w:sz w:val="21"/>
          <w:szCs w:val="21"/>
        </w:rPr>
      </w:pPr>
      <w:r w:rsidRPr="00CD0B7E">
        <w:rPr>
          <w:rFonts w:hint="eastAsia"/>
          <w:color w:val="000000" w:themeColor="text1"/>
          <w:sz w:val="32"/>
          <w:szCs w:val="32"/>
        </w:rPr>
        <w:t>2023年8月8日</w:t>
      </w:r>
    </w:p>
    <w:p w14:paraId="5B125C85" w14:textId="77777777" w:rsidR="00CD0B7E" w:rsidRPr="00CD0B7E" w:rsidRDefault="00CD0B7E" w:rsidP="00CD0B7E">
      <w:pPr>
        <w:pStyle w:val="p"/>
        <w:shd w:val="clear" w:color="auto" w:fill="FFFFFF"/>
        <w:spacing w:before="0" w:beforeAutospacing="0" w:after="0" w:afterAutospacing="0" w:line="560" w:lineRule="atLeast"/>
        <w:jc w:val="center"/>
        <w:rPr>
          <w:color w:val="000000" w:themeColor="text1"/>
          <w:sz w:val="21"/>
          <w:szCs w:val="21"/>
        </w:rPr>
      </w:pPr>
      <w:r w:rsidRPr="00CD0B7E">
        <w:rPr>
          <w:rFonts w:hint="eastAsia"/>
          <w:color w:val="000000" w:themeColor="text1"/>
          <w:sz w:val="32"/>
          <w:szCs w:val="32"/>
        </w:rPr>
        <w:t> </w:t>
      </w:r>
    </w:p>
    <w:p w14:paraId="6A744B3B" w14:textId="77777777" w:rsidR="00CD0B7E" w:rsidRPr="00CD0B7E" w:rsidRDefault="00CD0B7E" w:rsidP="00CD0B7E">
      <w:pPr>
        <w:pStyle w:val="p"/>
        <w:shd w:val="clear" w:color="auto" w:fill="FFFFFF"/>
        <w:spacing w:before="0" w:beforeAutospacing="0" w:after="0" w:afterAutospacing="0" w:line="560" w:lineRule="atLeast"/>
        <w:jc w:val="center"/>
        <w:rPr>
          <w:color w:val="000000" w:themeColor="text1"/>
          <w:sz w:val="21"/>
          <w:szCs w:val="21"/>
        </w:rPr>
      </w:pPr>
      <w:r w:rsidRPr="00CD0B7E">
        <w:rPr>
          <w:rFonts w:hint="eastAsia"/>
          <w:color w:val="000000" w:themeColor="text1"/>
          <w:sz w:val="32"/>
          <w:szCs w:val="32"/>
        </w:rPr>
        <w:br/>
      </w:r>
    </w:p>
    <w:p w14:paraId="0A770C60" w14:textId="77777777" w:rsidR="00CD0B7E" w:rsidRPr="00CD0B7E" w:rsidRDefault="00CD0B7E" w:rsidP="00CD0B7E">
      <w:pPr>
        <w:pStyle w:val="p"/>
        <w:shd w:val="clear" w:color="auto" w:fill="FFFFFF"/>
        <w:spacing w:before="0" w:beforeAutospacing="0" w:after="0" w:afterAutospacing="0" w:line="560" w:lineRule="atLeast"/>
        <w:jc w:val="center"/>
        <w:rPr>
          <w:color w:val="000000" w:themeColor="text1"/>
          <w:sz w:val="21"/>
          <w:szCs w:val="21"/>
        </w:rPr>
      </w:pPr>
      <w:r w:rsidRPr="00CD0B7E">
        <w:rPr>
          <w:rFonts w:hint="eastAsia"/>
          <w:color w:val="000000" w:themeColor="text1"/>
          <w:sz w:val="32"/>
          <w:szCs w:val="32"/>
        </w:rPr>
        <w:br/>
      </w:r>
    </w:p>
    <w:p w14:paraId="14226E9B" w14:textId="77777777" w:rsidR="00CD0B7E" w:rsidRPr="00CD0B7E" w:rsidRDefault="00CD0B7E" w:rsidP="00CD0B7E">
      <w:pPr>
        <w:pStyle w:val="p"/>
        <w:shd w:val="clear" w:color="auto" w:fill="FFFFFF"/>
        <w:spacing w:before="0" w:beforeAutospacing="0" w:after="0" w:afterAutospacing="0" w:line="560" w:lineRule="atLeast"/>
        <w:jc w:val="center"/>
        <w:rPr>
          <w:color w:val="000000" w:themeColor="text1"/>
          <w:sz w:val="21"/>
          <w:szCs w:val="21"/>
        </w:rPr>
      </w:pPr>
      <w:r w:rsidRPr="00CD0B7E">
        <w:rPr>
          <w:rFonts w:hint="eastAsia"/>
          <w:color w:val="000000" w:themeColor="text1"/>
          <w:sz w:val="32"/>
          <w:szCs w:val="32"/>
        </w:rPr>
        <w:br/>
      </w:r>
    </w:p>
    <w:p w14:paraId="07F9FED6" w14:textId="77777777" w:rsidR="00CD0B7E" w:rsidRPr="00CD0B7E" w:rsidRDefault="00CD0B7E" w:rsidP="00CD0B7E">
      <w:pPr>
        <w:pStyle w:val="p"/>
        <w:shd w:val="clear" w:color="auto" w:fill="FFFFFF"/>
        <w:spacing w:before="0" w:beforeAutospacing="0" w:after="0" w:afterAutospacing="0" w:line="560" w:lineRule="atLeast"/>
        <w:jc w:val="center"/>
        <w:rPr>
          <w:color w:val="000000" w:themeColor="text1"/>
          <w:sz w:val="21"/>
          <w:szCs w:val="21"/>
        </w:rPr>
      </w:pPr>
      <w:r w:rsidRPr="00CD0B7E">
        <w:rPr>
          <w:rFonts w:hint="eastAsia"/>
          <w:b/>
          <w:bCs/>
          <w:color w:val="000000" w:themeColor="text1"/>
          <w:sz w:val="44"/>
          <w:szCs w:val="44"/>
        </w:rPr>
        <w:t>安全生产严重失信主体名单管理办法</w:t>
      </w:r>
    </w:p>
    <w:p w14:paraId="1CB21902" w14:textId="77777777" w:rsidR="00CD0B7E" w:rsidRPr="00CD0B7E" w:rsidRDefault="00CD0B7E" w:rsidP="00CD0B7E">
      <w:pPr>
        <w:pStyle w:val="p"/>
        <w:shd w:val="clear" w:color="auto" w:fill="FFFFFF"/>
        <w:spacing w:before="312" w:beforeAutospacing="0" w:after="312" w:afterAutospacing="0" w:line="580" w:lineRule="atLeast"/>
        <w:ind w:left="1" w:hanging="1"/>
        <w:jc w:val="center"/>
        <w:rPr>
          <w:color w:val="000000" w:themeColor="text1"/>
          <w:sz w:val="21"/>
          <w:szCs w:val="21"/>
        </w:rPr>
      </w:pPr>
      <w:r w:rsidRPr="00CD0B7E">
        <w:rPr>
          <w:rFonts w:ascii="黑体" w:eastAsia="黑体" w:hAnsi="黑体" w:hint="eastAsia"/>
          <w:color w:val="000000" w:themeColor="text1"/>
          <w:sz w:val="32"/>
          <w:szCs w:val="32"/>
        </w:rPr>
        <w:t>第一章</w:t>
      </w:r>
      <w:r w:rsidRPr="00CD0B7E">
        <w:rPr>
          <w:rFonts w:ascii="Calibri" w:eastAsia="黑体" w:hAnsi="Calibri" w:cs="Calibri"/>
          <w:color w:val="000000" w:themeColor="text1"/>
          <w:sz w:val="32"/>
          <w:szCs w:val="32"/>
        </w:rPr>
        <w:t> </w:t>
      </w:r>
      <w:r w:rsidRPr="00CD0B7E">
        <w:rPr>
          <w:rFonts w:ascii="黑体" w:eastAsia="黑体" w:hAnsi="黑体" w:hint="eastAsia"/>
          <w:color w:val="000000" w:themeColor="text1"/>
          <w:sz w:val="32"/>
          <w:szCs w:val="32"/>
        </w:rPr>
        <w:t xml:space="preserve"> 总则</w:t>
      </w:r>
    </w:p>
    <w:p w14:paraId="77761D37"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ascii="黑体" w:eastAsia="黑体" w:hAnsi="黑体" w:hint="eastAsia"/>
          <w:color w:val="000000" w:themeColor="text1"/>
          <w:sz w:val="32"/>
          <w:szCs w:val="32"/>
        </w:rPr>
        <w:lastRenderedPageBreak/>
        <w:t>第一条</w:t>
      </w:r>
      <w:r w:rsidRPr="00CD0B7E">
        <w:rPr>
          <w:rFonts w:hint="eastAsia"/>
          <w:color w:val="000000" w:themeColor="text1"/>
          <w:sz w:val="32"/>
          <w:szCs w:val="32"/>
        </w:rPr>
        <w:t>  为了加强安全生产领域信用体系建设，规范安全生产严重失信主体名单管理，依据《中华人民共和国安全生产法》等有关法律、行政法规，制定本办法。</w:t>
      </w:r>
    </w:p>
    <w:p w14:paraId="094BCFBA"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ascii="黑体" w:eastAsia="黑体" w:hAnsi="黑体" w:hint="eastAsia"/>
          <w:color w:val="000000" w:themeColor="text1"/>
          <w:sz w:val="32"/>
          <w:szCs w:val="32"/>
        </w:rPr>
        <w:t>第二条</w:t>
      </w:r>
      <w:r w:rsidRPr="00CD0B7E">
        <w:rPr>
          <w:rFonts w:hint="eastAsia"/>
          <w:b/>
          <w:bCs/>
          <w:color w:val="000000" w:themeColor="text1"/>
          <w:sz w:val="32"/>
          <w:szCs w:val="32"/>
        </w:rPr>
        <w:t>  </w:t>
      </w:r>
      <w:r w:rsidRPr="00CD0B7E">
        <w:rPr>
          <w:rFonts w:hint="eastAsia"/>
          <w:color w:val="000000" w:themeColor="text1"/>
          <w:sz w:val="32"/>
          <w:szCs w:val="32"/>
        </w:rPr>
        <w:t>矿山（含尾矿库）、化工（含石油化工）、医药、危险化学品、烟花爆竹、石油开采、冶金、有色、建材、机械、轻工、纺织、烟草、商贸等行业领域生产经营单位和承担安全评价、认证、检测、检验职责的机构及其人员的安全生产严重失信名单管理适用本办法。</w:t>
      </w:r>
    </w:p>
    <w:p w14:paraId="3C6CD914"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ascii="黑体" w:eastAsia="黑体" w:hAnsi="黑体" w:hint="eastAsia"/>
          <w:color w:val="000000" w:themeColor="text1"/>
          <w:sz w:val="32"/>
          <w:szCs w:val="32"/>
        </w:rPr>
        <w:t>第三条</w:t>
      </w:r>
      <w:r w:rsidRPr="00CD0B7E">
        <w:rPr>
          <w:rFonts w:hint="eastAsia"/>
          <w:color w:val="000000" w:themeColor="text1"/>
          <w:sz w:val="32"/>
          <w:szCs w:val="32"/>
        </w:rPr>
        <w:t>  本办法所称安全生产严重失信（以下简称严重失信）是指有关生产经营单位和承担安全评价、认证、检测、检验职责的机构及其人员因生产安全事故或者违反安全生产法律法规，受到行政处罚，并且性质恶劣、情节严重的行为。</w:t>
      </w:r>
    </w:p>
    <w:p w14:paraId="36D0AB2F"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hint="eastAsia"/>
          <w:color w:val="000000" w:themeColor="text1"/>
          <w:sz w:val="32"/>
          <w:szCs w:val="32"/>
        </w:rPr>
        <w:t>严重失信主体名单管理是指应急管理部门依法将严重失信的生产经营单位或者机构及其有关人员列入、移出严重失信主体名单，实施惩戒或者信用修复，并记录、共享、公示相关信息等管理活动。</w:t>
      </w:r>
    </w:p>
    <w:p w14:paraId="7E43F885"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ascii="黑体" w:eastAsia="黑体" w:hAnsi="黑体" w:hint="eastAsia"/>
          <w:color w:val="000000" w:themeColor="text1"/>
          <w:sz w:val="32"/>
          <w:szCs w:val="32"/>
        </w:rPr>
        <w:t>第四条</w:t>
      </w:r>
      <w:r w:rsidRPr="00CD0B7E">
        <w:rPr>
          <w:rFonts w:hint="eastAsia"/>
          <w:color w:val="000000" w:themeColor="text1"/>
          <w:sz w:val="32"/>
          <w:szCs w:val="32"/>
        </w:rPr>
        <w:t>  国务院应急管理部门负责组织、指导全国严重失信主体名单管理工作；省级、设区的市级应急管理部门负责组织、实施并指导下一级应急管理部门严重失信主体名单管理工作。</w:t>
      </w:r>
    </w:p>
    <w:p w14:paraId="10A20D57"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hint="eastAsia"/>
          <w:color w:val="000000" w:themeColor="text1"/>
          <w:sz w:val="32"/>
          <w:szCs w:val="32"/>
        </w:rPr>
        <w:lastRenderedPageBreak/>
        <w:t>县级以上地方应急管理部门负责本行政区域内严重失信主体名单管理工作。按照“谁处罚、谁决定、谁负责”的原则，由</w:t>
      </w:r>
      <w:proofErr w:type="gramStart"/>
      <w:r w:rsidRPr="00CD0B7E">
        <w:rPr>
          <w:rFonts w:hint="eastAsia"/>
          <w:color w:val="000000" w:themeColor="text1"/>
          <w:sz w:val="32"/>
          <w:szCs w:val="32"/>
        </w:rPr>
        <w:t>作出</w:t>
      </w:r>
      <w:proofErr w:type="gramEnd"/>
      <w:r w:rsidRPr="00CD0B7E">
        <w:rPr>
          <w:rFonts w:hint="eastAsia"/>
          <w:color w:val="000000" w:themeColor="text1"/>
          <w:sz w:val="32"/>
          <w:szCs w:val="32"/>
        </w:rPr>
        <w:t>行政处罚决定的应急管理部门负责严重失信主体名单管理工作。</w:t>
      </w:r>
    </w:p>
    <w:p w14:paraId="33E6825F"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ascii="黑体" w:eastAsia="黑体" w:hAnsi="黑体" w:hint="eastAsia"/>
          <w:color w:val="000000" w:themeColor="text1"/>
          <w:sz w:val="32"/>
          <w:szCs w:val="32"/>
        </w:rPr>
        <w:t>第五条</w:t>
      </w:r>
      <w:r w:rsidRPr="00CD0B7E">
        <w:rPr>
          <w:rFonts w:hint="eastAsia"/>
          <w:color w:val="000000" w:themeColor="text1"/>
          <w:sz w:val="32"/>
          <w:szCs w:val="32"/>
        </w:rPr>
        <w:t>  各级应急管理部门应当建立健全严重失信主体名单信息管理制度，加大信息保护力度。推进与其他部门间的信息共享共用，健全严重失信主体名单信息查询、应用和反馈机制，依法依规实施联合惩戒。</w:t>
      </w:r>
    </w:p>
    <w:p w14:paraId="2D244018" w14:textId="77777777" w:rsidR="00CD0B7E" w:rsidRPr="00CD0B7E" w:rsidRDefault="00CD0B7E" w:rsidP="00CD0B7E">
      <w:pPr>
        <w:pStyle w:val="p"/>
        <w:shd w:val="clear" w:color="auto" w:fill="FFFFFF"/>
        <w:spacing w:before="312" w:beforeAutospacing="0" w:after="312" w:afterAutospacing="0" w:line="580" w:lineRule="atLeast"/>
        <w:jc w:val="center"/>
        <w:rPr>
          <w:color w:val="000000" w:themeColor="text1"/>
          <w:sz w:val="21"/>
          <w:szCs w:val="21"/>
        </w:rPr>
      </w:pPr>
      <w:r w:rsidRPr="00CD0B7E">
        <w:rPr>
          <w:rFonts w:ascii="黑体" w:eastAsia="黑体" w:hAnsi="黑体" w:hint="eastAsia"/>
          <w:color w:val="000000" w:themeColor="text1"/>
          <w:sz w:val="32"/>
          <w:szCs w:val="32"/>
        </w:rPr>
        <w:t>第二章</w:t>
      </w:r>
      <w:r w:rsidRPr="00CD0B7E">
        <w:rPr>
          <w:rFonts w:ascii="Calibri" w:eastAsia="黑体" w:hAnsi="Calibri" w:cs="Calibri"/>
          <w:color w:val="000000" w:themeColor="text1"/>
          <w:sz w:val="32"/>
          <w:szCs w:val="32"/>
        </w:rPr>
        <w:t>  </w:t>
      </w:r>
      <w:r w:rsidRPr="00CD0B7E">
        <w:rPr>
          <w:rFonts w:ascii="黑体" w:eastAsia="黑体" w:hAnsi="黑体" w:hint="eastAsia"/>
          <w:color w:val="000000" w:themeColor="text1"/>
          <w:sz w:val="32"/>
          <w:szCs w:val="32"/>
        </w:rPr>
        <w:t>列入条件和管理措施</w:t>
      </w:r>
    </w:p>
    <w:p w14:paraId="62BB9A6E"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ascii="黑体" w:eastAsia="黑体" w:hAnsi="黑体" w:hint="eastAsia"/>
          <w:color w:val="000000" w:themeColor="text1"/>
          <w:sz w:val="32"/>
          <w:szCs w:val="32"/>
        </w:rPr>
        <w:t>第六条</w:t>
      </w:r>
      <w:r w:rsidRPr="00CD0B7E">
        <w:rPr>
          <w:rFonts w:hint="eastAsia"/>
          <w:color w:val="000000" w:themeColor="text1"/>
          <w:sz w:val="32"/>
          <w:szCs w:val="32"/>
        </w:rPr>
        <w:t>  下列发生生产安全事故的生产经营单位及其有关人员应当列入严重失信主体名单：</w:t>
      </w:r>
    </w:p>
    <w:p w14:paraId="52205343"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hint="eastAsia"/>
          <w:color w:val="000000" w:themeColor="text1"/>
          <w:sz w:val="32"/>
          <w:szCs w:val="32"/>
        </w:rPr>
        <w:t>（一）发生特别重大、重大生产安全事故的生产经营单位及其主要负责人，以及经调查认定对该事故发生负有责任，应当列入名单的其他单位和人员；</w:t>
      </w:r>
    </w:p>
    <w:p w14:paraId="3D27215C"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hint="eastAsia"/>
          <w:color w:val="000000" w:themeColor="text1"/>
          <w:sz w:val="32"/>
          <w:szCs w:val="32"/>
        </w:rPr>
        <w:t>（二）12个月内累计发生2起以上较大生产安全事故的生产经营单位及其主要负责人；</w:t>
      </w:r>
    </w:p>
    <w:p w14:paraId="21378F1B"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hint="eastAsia"/>
          <w:color w:val="000000" w:themeColor="text1"/>
          <w:sz w:val="32"/>
          <w:szCs w:val="32"/>
        </w:rPr>
        <w:t>（三）发生生产安全事故，情节特别严重、影响特别恶劣，依照《中华人民共和国安全生产法》第一百一十四条的规定被处以罚款数额2倍以上5倍以下罚款的生产经营单位及其主要负责人；</w:t>
      </w:r>
    </w:p>
    <w:p w14:paraId="6B79B9A0"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hint="eastAsia"/>
          <w:color w:val="000000" w:themeColor="text1"/>
          <w:sz w:val="32"/>
          <w:szCs w:val="32"/>
        </w:rPr>
        <w:lastRenderedPageBreak/>
        <w:t>（四）瞒报、谎报生产安全事故的生产经营单位及其有关责任人员；</w:t>
      </w:r>
    </w:p>
    <w:p w14:paraId="37D31F85"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hint="eastAsia"/>
          <w:color w:val="000000" w:themeColor="text1"/>
          <w:sz w:val="32"/>
          <w:szCs w:val="32"/>
        </w:rPr>
        <w:t>（五）发生生产安全事故后，</w:t>
      </w:r>
      <w:proofErr w:type="gramStart"/>
      <w:r w:rsidRPr="00CD0B7E">
        <w:rPr>
          <w:rFonts w:hint="eastAsia"/>
          <w:color w:val="000000" w:themeColor="text1"/>
          <w:sz w:val="32"/>
          <w:szCs w:val="32"/>
        </w:rPr>
        <w:t>不</w:t>
      </w:r>
      <w:proofErr w:type="gramEnd"/>
      <w:r w:rsidRPr="00CD0B7E">
        <w:rPr>
          <w:rFonts w:hint="eastAsia"/>
          <w:color w:val="000000" w:themeColor="text1"/>
          <w:sz w:val="32"/>
          <w:szCs w:val="32"/>
        </w:rPr>
        <w:t>立即组织抢救或者在事故调查处理期间擅离职守或者逃匿的生产经营单位主要负责人。</w:t>
      </w:r>
    </w:p>
    <w:p w14:paraId="396CF67A"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ascii="黑体" w:eastAsia="黑体" w:hAnsi="黑体" w:hint="eastAsia"/>
          <w:color w:val="000000" w:themeColor="text1"/>
          <w:sz w:val="32"/>
          <w:szCs w:val="32"/>
        </w:rPr>
        <w:t>第七条</w:t>
      </w:r>
      <w:r w:rsidRPr="00CD0B7E">
        <w:rPr>
          <w:rFonts w:hint="eastAsia"/>
          <w:color w:val="000000" w:themeColor="text1"/>
          <w:sz w:val="32"/>
          <w:szCs w:val="32"/>
        </w:rPr>
        <w:t>  下列未发生生产安全事故，但因安全生产违法行为，受到行政处罚的生产经营单位或者机构及其有关人员，应当列入严重失信主体名单：</w:t>
      </w:r>
    </w:p>
    <w:p w14:paraId="243872E6"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hint="eastAsia"/>
          <w:color w:val="000000" w:themeColor="text1"/>
          <w:sz w:val="32"/>
          <w:szCs w:val="32"/>
        </w:rPr>
        <w:t>（一）未依法取得安全生产相关许可或者许可被暂扣、吊销期间从事相关生产经营活动的生产经营单位及其主要负责人；</w:t>
      </w:r>
    </w:p>
    <w:p w14:paraId="249CAD76"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hint="eastAsia"/>
          <w:color w:val="000000" w:themeColor="text1"/>
          <w:sz w:val="32"/>
          <w:szCs w:val="32"/>
        </w:rPr>
        <w:t>（二）承担安全评价、认证、检测、检验职责的机构及其直接责任人员租借资质、挂靠、出具虚假报告或者证书的；</w:t>
      </w:r>
    </w:p>
    <w:p w14:paraId="29B73B6B"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hint="eastAsia"/>
          <w:color w:val="000000" w:themeColor="text1"/>
          <w:sz w:val="32"/>
          <w:szCs w:val="32"/>
        </w:rPr>
        <w:t>（三）在应急管理部门</w:t>
      </w:r>
      <w:proofErr w:type="gramStart"/>
      <w:r w:rsidRPr="00CD0B7E">
        <w:rPr>
          <w:rFonts w:hint="eastAsia"/>
          <w:color w:val="000000" w:themeColor="text1"/>
          <w:sz w:val="32"/>
          <w:szCs w:val="32"/>
        </w:rPr>
        <w:t>作出</w:t>
      </w:r>
      <w:proofErr w:type="gramEnd"/>
      <w:r w:rsidRPr="00CD0B7E">
        <w:rPr>
          <w:rFonts w:hint="eastAsia"/>
          <w:color w:val="000000" w:themeColor="text1"/>
          <w:sz w:val="32"/>
          <w:szCs w:val="32"/>
        </w:rPr>
        <w:t>行政处罚后，有执行能力拒不执行或者逃避执行的生产经营单位及其主要负责人；</w:t>
      </w:r>
    </w:p>
    <w:p w14:paraId="756F5082"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hint="eastAsia"/>
          <w:color w:val="000000" w:themeColor="text1"/>
          <w:sz w:val="32"/>
          <w:szCs w:val="32"/>
        </w:rPr>
        <w:t>（四）其他违反安全生产法律法规受到行政处罚，</w:t>
      </w:r>
      <w:proofErr w:type="gramStart"/>
      <w:r w:rsidRPr="00CD0B7E">
        <w:rPr>
          <w:rFonts w:hint="eastAsia"/>
          <w:color w:val="000000" w:themeColor="text1"/>
          <w:sz w:val="32"/>
          <w:szCs w:val="32"/>
        </w:rPr>
        <w:t>且性质</w:t>
      </w:r>
      <w:proofErr w:type="gramEnd"/>
      <w:r w:rsidRPr="00CD0B7E">
        <w:rPr>
          <w:rFonts w:hint="eastAsia"/>
          <w:color w:val="000000" w:themeColor="text1"/>
          <w:sz w:val="32"/>
          <w:szCs w:val="32"/>
        </w:rPr>
        <w:t>恶劣、情节严重的。</w:t>
      </w:r>
    </w:p>
    <w:p w14:paraId="4A7086DC"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ascii="黑体" w:eastAsia="黑体" w:hAnsi="黑体" w:hint="eastAsia"/>
          <w:color w:val="000000" w:themeColor="text1"/>
          <w:sz w:val="32"/>
          <w:szCs w:val="32"/>
        </w:rPr>
        <w:t>第八条</w:t>
      </w:r>
      <w:r w:rsidRPr="00CD0B7E">
        <w:rPr>
          <w:rFonts w:hint="eastAsia"/>
          <w:b/>
          <w:bCs/>
          <w:color w:val="000000" w:themeColor="text1"/>
          <w:sz w:val="32"/>
          <w:szCs w:val="32"/>
        </w:rPr>
        <w:t>  </w:t>
      </w:r>
      <w:r w:rsidRPr="00CD0B7E">
        <w:rPr>
          <w:rFonts w:hint="eastAsia"/>
          <w:color w:val="000000" w:themeColor="text1"/>
          <w:sz w:val="32"/>
          <w:szCs w:val="32"/>
        </w:rPr>
        <w:t>应急管理部门对被列入严重失信主体名单的对象（以下简称被列入对象）可以采取下列管理措施：</w:t>
      </w:r>
    </w:p>
    <w:p w14:paraId="59F274AC"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hint="eastAsia"/>
          <w:color w:val="000000" w:themeColor="text1"/>
          <w:sz w:val="32"/>
          <w:szCs w:val="32"/>
        </w:rPr>
        <w:t>（一）在国家有关信用信息共享平台、国家企业信用信息公示系统和部门政府网站等公示相关信息；</w:t>
      </w:r>
    </w:p>
    <w:p w14:paraId="4572C0A7"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hint="eastAsia"/>
          <w:color w:val="000000" w:themeColor="text1"/>
          <w:sz w:val="32"/>
          <w:szCs w:val="32"/>
        </w:rPr>
        <w:lastRenderedPageBreak/>
        <w:t>（二）加大执法检查频次、暂停项目审批、实施行业或者职业禁入；</w:t>
      </w:r>
    </w:p>
    <w:p w14:paraId="5E559C29"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hint="eastAsia"/>
          <w:color w:val="000000" w:themeColor="text1"/>
          <w:sz w:val="32"/>
          <w:szCs w:val="32"/>
        </w:rPr>
        <w:t>（三）不适用告知承诺制等基于诚信的管理措施；</w:t>
      </w:r>
    </w:p>
    <w:p w14:paraId="1554B467"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hint="eastAsia"/>
          <w:color w:val="000000" w:themeColor="text1"/>
          <w:sz w:val="32"/>
          <w:szCs w:val="32"/>
        </w:rPr>
        <w:t>（四）取消参加应急管理部门组织的评先评优资格；</w:t>
      </w:r>
    </w:p>
    <w:p w14:paraId="6D998F49"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hint="eastAsia"/>
          <w:color w:val="000000" w:themeColor="text1"/>
          <w:sz w:val="32"/>
          <w:szCs w:val="32"/>
        </w:rPr>
        <w:t>（五）在政府资金项目申请、财政支持等方面予以限制；</w:t>
      </w:r>
    </w:p>
    <w:p w14:paraId="371AC261"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hint="eastAsia"/>
          <w:color w:val="000000" w:themeColor="text1"/>
          <w:sz w:val="32"/>
          <w:szCs w:val="32"/>
        </w:rPr>
        <w:t>（六）法律、行政法规和党中央、国务院政策文件规定的其他管理措施。</w:t>
      </w:r>
    </w:p>
    <w:p w14:paraId="189FDB95" w14:textId="77777777" w:rsidR="00CD0B7E" w:rsidRPr="00CD0B7E" w:rsidRDefault="00CD0B7E" w:rsidP="00CD0B7E">
      <w:pPr>
        <w:pStyle w:val="p"/>
        <w:shd w:val="clear" w:color="auto" w:fill="FFFFFF"/>
        <w:spacing w:before="312" w:beforeAutospacing="0" w:after="312" w:afterAutospacing="0" w:line="580" w:lineRule="atLeast"/>
        <w:jc w:val="center"/>
        <w:rPr>
          <w:color w:val="000000" w:themeColor="text1"/>
          <w:sz w:val="21"/>
          <w:szCs w:val="21"/>
        </w:rPr>
      </w:pPr>
      <w:r w:rsidRPr="00CD0B7E">
        <w:rPr>
          <w:rFonts w:ascii="黑体" w:eastAsia="黑体" w:hAnsi="黑体" w:hint="eastAsia"/>
          <w:color w:val="000000" w:themeColor="text1"/>
          <w:sz w:val="32"/>
          <w:szCs w:val="32"/>
        </w:rPr>
        <w:t>第三章</w:t>
      </w:r>
      <w:r w:rsidRPr="00CD0B7E">
        <w:rPr>
          <w:rFonts w:ascii="Calibri" w:eastAsia="黑体" w:hAnsi="Calibri" w:cs="Calibri"/>
          <w:color w:val="000000" w:themeColor="text1"/>
          <w:sz w:val="32"/>
          <w:szCs w:val="32"/>
        </w:rPr>
        <w:t>  </w:t>
      </w:r>
      <w:r w:rsidRPr="00CD0B7E">
        <w:rPr>
          <w:rFonts w:ascii="黑体" w:eastAsia="黑体" w:hAnsi="黑体" w:hint="eastAsia"/>
          <w:color w:val="000000" w:themeColor="text1"/>
          <w:sz w:val="32"/>
          <w:szCs w:val="32"/>
        </w:rPr>
        <w:t>列入和移出程序</w:t>
      </w:r>
    </w:p>
    <w:p w14:paraId="47B79C86"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ascii="黑体" w:eastAsia="黑体" w:hAnsi="黑体" w:hint="eastAsia"/>
          <w:color w:val="000000" w:themeColor="text1"/>
          <w:sz w:val="32"/>
          <w:szCs w:val="32"/>
        </w:rPr>
        <w:t>第九条</w:t>
      </w:r>
      <w:r w:rsidRPr="00CD0B7E">
        <w:rPr>
          <w:rFonts w:hint="eastAsia"/>
          <w:color w:val="000000" w:themeColor="text1"/>
          <w:sz w:val="32"/>
          <w:szCs w:val="32"/>
        </w:rPr>
        <w:t>  应急管理部门</w:t>
      </w:r>
      <w:proofErr w:type="gramStart"/>
      <w:r w:rsidRPr="00CD0B7E">
        <w:rPr>
          <w:rFonts w:hint="eastAsia"/>
          <w:color w:val="000000" w:themeColor="text1"/>
          <w:sz w:val="32"/>
          <w:szCs w:val="32"/>
        </w:rPr>
        <w:t>作出</w:t>
      </w:r>
      <w:proofErr w:type="gramEnd"/>
      <w:r w:rsidRPr="00CD0B7E">
        <w:rPr>
          <w:rFonts w:hint="eastAsia"/>
          <w:color w:val="000000" w:themeColor="text1"/>
          <w:sz w:val="32"/>
          <w:szCs w:val="32"/>
        </w:rPr>
        <w:t>列入严重失信主体名单书面决定前，应当告知当事人。告知内容应当包括列入时间、事由、依据、管理措施提示以及依法享有的权利等事项。</w:t>
      </w:r>
    </w:p>
    <w:p w14:paraId="69FC9FC3"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ascii="黑体" w:eastAsia="黑体" w:hAnsi="黑体" w:hint="eastAsia"/>
          <w:color w:val="000000" w:themeColor="text1"/>
          <w:sz w:val="32"/>
          <w:szCs w:val="32"/>
        </w:rPr>
        <w:t>第十条</w:t>
      </w:r>
      <w:r w:rsidRPr="00CD0B7E">
        <w:rPr>
          <w:rFonts w:hint="eastAsia"/>
          <w:color w:val="000000" w:themeColor="text1"/>
          <w:sz w:val="32"/>
          <w:szCs w:val="32"/>
        </w:rPr>
        <w:t>  应急管理部门</w:t>
      </w:r>
      <w:proofErr w:type="gramStart"/>
      <w:r w:rsidRPr="00CD0B7E">
        <w:rPr>
          <w:rFonts w:hint="eastAsia"/>
          <w:color w:val="000000" w:themeColor="text1"/>
          <w:sz w:val="32"/>
          <w:szCs w:val="32"/>
        </w:rPr>
        <w:t>作出</w:t>
      </w:r>
      <w:proofErr w:type="gramEnd"/>
      <w:r w:rsidRPr="00CD0B7E">
        <w:rPr>
          <w:rFonts w:hint="eastAsia"/>
          <w:color w:val="000000" w:themeColor="text1"/>
          <w:sz w:val="32"/>
          <w:szCs w:val="32"/>
        </w:rPr>
        <w:t>列入严重失信主体名单决定的，应当出具书面决定。书面决定内容应当包括市场主体名称、统一社会信用代码、有关人员姓名和有效身份证件号码、列入时间、事由、依据、管理措施提示、信用修复条件和程序、救济途径等事项。</w:t>
      </w:r>
    </w:p>
    <w:p w14:paraId="1B89E8F0"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hint="eastAsia"/>
          <w:color w:val="000000" w:themeColor="text1"/>
          <w:sz w:val="32"/>
          <w:szCs w:val="32"/>
        </w:rPr>
        <w:t>告知、送达、异议处理等程序参照《中华人民共和国行政处罚法》有关规定执行。</w:t>
      </w:r>
    </w:p>
    <w:p w14:paraId="14BA04A6"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ascii="黑体" w:eastAsia="黑体" w:hAnsi="黑体" w:hint="eastAsia"/>
          <w:color w:val="000000" w:themeColor="text1"/>
          <w:sz w:val="32"/>
          <w:szCs w:val="32"/>
        </w:rPr>
        <w:t>第十一条</w:t>
      </w:r>
      <w:r w:rsidRPr="00CD0B7E">
        <w:rPr>
          <w:rFonts w:hint="eastAsia"/>
          <w:color w:val="000000" w:themeColor="text1"/>
          <w:sz w:val="32"/>
          <w:szCs w:val="32"/>
        </w:rPr>
        <w:t>  应急管理部门应当自</w:t>
      </w:r>
      <w:proofErr w:type="gramStart"/>
      <w:r w:rsidRPr="00CD0B7E">
        <w:rPr>
          <w:rFonts w:hint="eastAsia"/>
          <w:color w:val="000000" w:themeColor="text1"/>
          <w:sz w:val="32"/>
          <w:szCs w:val="32"/>
        </w:rPr>
        <w:t>作出</w:t>
      </w:r>
      <w:proofErr w:type="gramEnd"/>
      <w:r w:rsidRPr="00CD0B7E">
        <w:rPr>
          <w:rFonts w:hint="eastAsia"/>
          <w:color w:val="000000" w:themeColor="text1"/>
          <w:sz w:val="32"/>
          <w:szCs w:val="32"/>
        </w:rPr>
        <w:t>列入严重失信主体名单决定后3个工作日内将相关信息录入安全生产信用信息管理系统；自</w:t>
      </w:r>
      <w:proofErr w:type="gramStart"/>
      <w:r w:rsidRPr="00CD0B7E">
        <w:rPr>
          <w:rFonts w:hint="eastAsia"/>
          <w:color w:val="000000" w:themeColor="text1"/>
          <w:sz w:val="32"/>
          <w:szCs w:val="32"/>
        </w:rPr>
        <w:t>作出</w:t>
      </w:r>
      <w:proofErr w:type="gramEnd"/>
      <w:r w:rsidRPr="00CD0B7E">
        <w:rPr>
          <w:rFonts w:hint="eastAsia"/>
          <w:color w:val="000000" w:themeColor="text1"/>
          <w:sz w:val="32"/>
          <w:szCs w:val="32"/>
        </w:rPr>
        <w:t>列入严重失信主体名单决定后20个</w:t>
      </w:r>
      <w:r w:rsidRPr="00CD0B7E">
        <w:rPr>
          <w:rFonts w:hint="eastAsia"/>
          <w:color w:val="000000" w:themeColor="text1"/>
          <w:sz w:val="32"/>
          <w:szCs w:val="32"/>
        </w:rPr>
        <w:lastRenderedPageBreak/>
        <w:t>工作日内，通过国家有关信用信息共享平台、国家企业信用信息公示系统和部门政府网站等公示严重失信主体信息。</w:t>
      </w:r>
    </w:p>
    <w:p w14:paraId="3F511664"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ascii="黑体" w:eastAsia="黑体" w:hAnsi="黑体" w:hint="eastAsia"/>
          <w:color w:val="000000" w:themeColor="text1"/>
          <w:sz w:val="32"/>
          <w:szCs w:val="32"/>
        </w:rPr>
        <w:t>第十二条</w:t>
      </w:r>
      <w:r w:rsidRPr="00CD0B7E">
        <w:rPr>
          <w:rFonts w:hint="eastAsia"/>
          <w:color w:val="000000" w:themeColor="text1"/>
          <w:sz w:val="32"/>
          <w:szCs w:val="32"/>
        </w:rPr>
        <w:t>  被列入对象公示信息包括市场主体名称、登记注册地址、统一社会信用代码、有关人员姓名和有效身份证件号码、管理期限、</w:t>
      </w:r>
      <w:proofErr w:type="gramStart"/>
      <w:r w:rsidRPr="00CD0B7E">
        <w:rPr>
          <w:rFonts w:hint="eastAsia"/>
          <w:color w:val="000000" w:themeColor="text1"/>
          <w:sz w:val="32"/>
          <w:szCs w:val="32"/>
        </w:rPr>
        <w:t>作出</w:t>
      </w:r>
      <w:proofErr w:type="gramEnd"/>
      <w:r w:rsidRPr="00CD0B7E">
        <w:rPr>
          <w:rFonts w:hint="eastAsia"/>
          <w:color w:val="000000" w:themeColor="text1"/>
          <w:sz w:val="32"/>
          <w:szCs w:val="32"/>
        </w:rPr>
        <w:t>决定的部门等事项。用于对社会公示的信息，应当加强对信息安全、个人隐私和商业秘密的保护。</w:t>
      </w:r>
    </w:p>
    <w:p w14:paraId="24D4DC1D"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ascii="黑体" w:eastAsia="黑体" w:hAnsi="黑体" w:hint="eastAsia"/>
          <w:color w:val="000000" w:themeColor="text1"/>
          <w:sz w:val="32"/>
          <w:szCs w:val="32"/>
        </w:rPr>
        <w:t>第十三条</w:t>
      </w:r>
      <w:r w:rsidRPr="00CD0B7E">
        <w:rPr>
          <w:rFonts w:hint="eastAsia"/>
          <w:color w:val="000000" w:themeColor="text1"/>
          <w:sz w:val="32"/>
          <w:szCs w:val="32"/>
        </w:rPr>
        <w:t>  严重失信主体名单管理期限为3年。管理期满后由</w:t>
      </w:r>
      <w:proofErr w:type="gramStart"/>
      <w:r w:rsidRPr="00CD0B7E">
        <w:rPr>
          <w:rFonts w:hint="eastAsia"/>
          <w:color w:val="000000" w:themeColor="text1"/>
          <w:sz w:val="32"/>
          <w:szCs w:val="32"/>
        </w:rPr>
        <w:t>作出</w:t>
      </w:r>
      <w:proofErr w:type="gramEnd"/>
      <w:r w:rsidRPr="00CD0B7E">
        <w:rPr>
          <w:rFonts w:hint="eastAsia"/>
          <w:color w:val="000000" w:themeColor="text1"/>
          <w:sz w:val="32"/>
          <w:szCs w:val="32"/>
        </w:rPr>
        <w:t>列入严重失信主体名单决定的应急管理部门负责移出，并停止公示和解除管理措施。</w:t>
      </w:r>
    </w:p>
    <w:p w14:paraId="150CF996"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hint="eastAsia"/>
          <w:color w:val="000000" w:themeColor="text1"/>
          <w:sz w:val="32"/>
          <w:szCs w:val="32"/>
        </w:rPr>
        <w:t>被列入对象自列入严重失信主体名单之日起满12个月，可以申请提前移出。依照法律、行政法规或者国务院规定实施职业或者行业禁入期限尚未届满的不予提前移出。</w:t>
      </w:r>
    </w:p>
    <w:p w14:paraId="2DCFBA0C"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ascii="黑体" w:eastAsia="黑体" w:hAnsi="黑体" w:hint="eastAsia"/>
          <w:color w:val="000000" w:themeColor="text1"/>
          <w:sz w:val="32"/>
          <w:szCs w:val="32"/>
        </w:rPr>
        <w:t>第十四条</w:t>
      </w:r>
      <w:r w:rsidRPr="00CD0B7E">
        <w:rPr>
          <w:rFonts w:hint="eastAsia"/>
          <w:color w:val="000000" w:themeColor="text1"/>
          <w:sz w:val="32"/>
          <w:szCs w:val="32"/>
        </w:rPr>
        <w:t>  在</w:t>
      </w:r>
      <w:proofErr w:type="gramStart"/>
      <w:r w:rsidRPr="00CD0B7E">
        <w:rPr>
          <w:rFonts w:hint="eastAsia"/>
          <w:color w:val="000000" w:themeColor="text1"/>
          <w:sz w:val="32"/>
          <w:szCs w:val="32"/>
        </w:rPr>
        <w:t>作出</w:t>
      </w:r>
      <w:proofErr w:type="gramEnd"/>
      <w:r w:rsidRPr="00CD0B7E">
        <w:rPr>
          <w:rFonts w:hint="eastAsia"/>
          <w:color w:val="000000" w:themeColor="text1"/>
          <w:sz w:val="32"/>
          <w:szCs w:val="32"/>
        </w:rPr>
        <w:t>移出严重失信主体名单决定后3个工作日内，负责移出的应急管理部门应当在安全生产信用信息管理系统修改有关信息，并在10个工作日内停止公示和解除管理措施。</w:t>
      </w:r>
    </w:p>
    <w:p w14:paraId="15212DF0"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ascii="黑体" w:eastAsia="黑体" w:hAnsi="黑体" w:hint="eastAsia"/>
          <w:color w:val="000000" w:themeColor="text1"/>
          <w:sz w:val="32"/>
          <w:szCs w:val="32"/>
        </w:rPr>
        <w:t>第十五条</w:t>
      </w:r>
      <w:r w:rsidRPr="00CD0B7E">
        <w:rPr>
          <w:rFonts w:hint="eastAsia"/>
          <w:color w:val="000000" w:themeColor="text1"/>
          <w:sz w:val="32"/>
          <w:szCs w:val="32"/>
        </w:rPr>
        <w:t>  列入严重失信主体名单的依据发生变化的，应急管理部门应当重新进行审核认定。不符合列入严重失信主体名单情形的，</w:t>
      </w:r>
      <w:proofErr w:type="gramStart"/>
      <w:r w:rsidRPr="00CD0B7E">
        <w:rPr>
          <w:rFonts w:hint="eastAsia"/>
          <w:color w:val="000000" w:themeColor="text1"/>
          <w:sz w:val="32"/>
          <w:szCs w:val="32"/>
        </w:rPr>
        <w:t>作出</w:t>
      </w:r>
      <w:proofErr w:type="gramEnd"/>
      <w:r w:rsidRPr="00CD0B7E">
        <w:rPr>
          <w:rFonts w:hint="eastAsia"/>
          <w:color w:val="000000" w:themeColor="text1"/>
          <w:sz w:val="32"/>
          <w:szCs w:val="32"/>
        </w:rPr>
        <w:t>列入决定的应急管理部门应当撤销列入决定，立即将当事人移出严重失信主体名单并停止公示和解除管理措施。</w:t>
      </w:r>
    </w:p>
    <w:p w14:paraId="34EBFFEB"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ascii="黑体" w:eastAsia="黑体" w:hAnsi="黑体" w:hint="eastAsia"/>
          <w:color w:val="000000" w:themeColor="text1"/>
          <w:sz w:val="32"/>
          <w:szCs w:val="32"/>
        </w:rPr>
        <w:lastRenderedPageBreak/>
        <w:t>第十六条</w:t>
      </w:r>
      <w:r w:rsidRPr="00CD0B7E">
        <w:rPr>
          <w:rFonts w:hint="eastAsia"/>
          <w:color w:val="000000" w:themeColor="text1"/>
          <w:sz w:val="32"/>
          <w:szCs w:val="32"/>
        </w:rPr>
        <w:t>  被列入对象对列入决定不服的，可以依法申请行政复议或者提起行政诉讼。</w:t>
      </w:r>
    </w:p>
    <w:p w14:paraId="5CC5A8E5" w14:textId="77777777" w:rsidR="00CD0B7E" w:rsidRPr="00CD0B7E" w:rsidRDefault="00CD0B7E" w:rsidP="00CD0B7E">
      <w:pPr>
        <w:pStyle w:val="p"/>
        <w:shd w:val="clear" w:color="auto" w:fill="FFFFFF"/>
        <w:spacing w:before="312" w:beforeAutospacing="0" w:after="312" w:afterAutospacing="0" w:line="580" w:lineRule="atLeast"/>
        <w:jc w:val="center"/>
        <w:rPr>
          <w:color w:val="000000" w:themeColor="text1"/>
          <w:sz w:val="21"/>
          <w:szCs w:val="21"/>
        </w:rPr>
      </w:pPr>
      <w:r w:rsidRPr="00CD0B7E">
        <w:rPr>
          <w:rFonts w:ascii="黑体" w:eastAsia="黑体" w:hAnsi="黑体" w:hint="eastAsia"/>
          <w:color w:val="000000" w:themeColor="text1"/>
          <w:sz w:val="32"/>
          <w:szCs w:val="32"/>
        </w:rPr>
        <w:t>第四章</w:t>
      </w:r>
      <w:r w:rsidRPr="00CD0B7E">
        <w:rPr>
          <w:rFonts w:ascii="Calibri" w:eastAsia="黑体" w:hAnsi="Calibri" w:cs="Calibri"/>
          <w:color w:val="000000" w:themeColor="text1"/>
          <w:sz w:val="32"/>
          <w:szCs w:val="32"/>
        </w:rPr>
        <w:t> </w:t>
      </w:r>
      <w:r w:rsidRPr="00CD0B7E">
        <w:rPr>
          <w:rFonts w:ascii="黑体" w:eastAsia="黑体" w:hAnsi="黑体" w:hint="eastAsia"/>
          <w:color w:val="000000" w:themeColor="text1"/>
          <w:sz w:val="32"/>
          <w:szCs w:val="32"/>
        </w:rPr>
        <w:t xml:space="preserve"> 信用修复</w:t>
      </w:r>
    </w:p>
    <w:p w14:paraId="25ED40D2"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ascii="黑体" w:eastAsia="黑体" w:hAnsi="黑体" w:hint="eastAsia"/>
          <w:color w:val="000000" w:themeColor="text1"/>
          <w:sz w:val="32"/>
          <w:szCs w:val="32"/>
        </w:rPr>
        <w:t>第十七条</w:t>
      </w:r>
      <w:r w:rsidRPr="00CD0B7E">
        <w:rPr>
          <w:rFonts w:hint="eastAsia"/>
          <w:b/>
          <w:bCs/>
          <w:color w:val="000000" w:themeColor="text1"/>
          <w:sz w:val="32"/>
          <w:szCs w:val="32"/>
        </w:rPr>
        <w:t>  </w:t>
      </w:r>
      <w:r w:rsidRPr="00CD0B7E">
        <w:rPr>
          <w:rFonts w:hint="eastAsia"/>
          <w:color w:val="000000" w:themeColor="text1"/>
          <w:sz w:val="32"/>
          <w:szCs w:val="32"/>
        </w:rPr>
        <w:t>鼓励被列入对象进行信用修复，纠正失信行为、消除不良影响。符合信用修复条件的，应急管理部门应当按照有关规定将其移出严重失信主体名单并解除管理措施。</w:t>
      </w:r>
    </w:p>
    <w:p w14:paraId="19DC73C9"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ascii="黑体" w:eastAsia="黑体" w:hAnsi="黑体" w:hint="eastAsia"/>
          <w:color w:val="000000" w:themeColor="text1"/>
          <w:sz w:val="32"/>
          <w:szCs w:val="32"/>
        </w:rPr>
        <w:t>第十八条</w:t>
      </w:r>
      <w:r w:rsidRPr="00CD0B7E">
        <w:rPr>
          <w:rFonts w:hint="eastAsia"/>
          <w:b/>
          <w:bCs/>
          <w:color w:val="000000" w:themeColor="text1"/>
          <w:sz w:val="32"/>
          <w:szCs w:val="32"/>
        </w:rPr>
        <w:t>  </w:t>
      </w:r>
      <w:r w:rsidRPr="00CD0B7E">
        <w:rPr>
          <w:rFonts w:hint="eastAsia"/>
          <w:color w:val="000000" w:themeColor="text1"/>
          <w:sz w:val="32"/>
          <w:szCs w:val="32"/>
        </w:rPr>
        <w:t>被列入对象列入严重失信主体名单满12个月并符合下列条件的，可以向</w:t>
      </w:r>
      <w:proofErr w:type="gramStart"/>
      <w:r w:rsidRPr="00CD0B7E">
        <w:rPr>
          <w:rFonts w:hint="eastAsia"/>
          <w:color w:val="000000" w:themeColor="text1"/>
          <w:sz w:val="32"/>
          <w:szCs w:val="32"/>
        </w:rPr>
        <w:t>作出</w:t>
      </w:r>
      <w:proofErr w:type="gramEnd"/>
      <w:r w:rsidRPr="00CD0B7E">
        <w:rPr>
          <w:rFonts w:hint="eastAsia"/>
          <w:color w:val="000000" w:themeColor="text1"/>
          <w:sz w:val="32"/>
          <w:szCs w:val="32"/>
        </w:rPr>
        <w:t>列入决定的应急管理部门提出提前移出申请：</w:t>
      </w:r>
    </w:p>
    <w:p w14:paraId="3952A20A"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hint="eastAsia"/>
          <w:color w:val="000000" w:themeColor="text1"/>
          <w:sz w:val="32"/>
          <w:szCs w:val="32"/>
        </w:rPr>
        <w:t>（一）已经履行行政处罚决定中规定的义务；</w:t>
      </w:r>
    </w:p>
    <w:p w14:paraId="321F2011"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hint="eastAsia"/>
          <w:color w:val="000000" w:themeColor="text1"/>
          <w:sz w:val="32"/>
          <w:szCs w:val="32"/>
        </w:rPr>
        <w:t>（二）已经主动消除危害后果或者不良影响；</w:t>
      </w:r>
    </w:p>
    <w:p w14:paraId="6F1DFC1F"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hint="eastAsia"/>
          <w:color w:val="000000" w:themeColor="text1"/>
          <w:sz w:val="32"/>
          <w:szCs w:val="32"/>
        </w:rPr>
        <w:t>（三）未再发生本办法第六条、第七条规定的严重失信行为。</w:t>
      </w:r>
    </w:p>
    <w:p w14:paraId="6C5E2A32"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ascii="黑体" w:eastAsia="黑体" w:hAnsi="黑体" w:hint="eastAsia"/>
          <w:color w:val="000000" w:themeColor="text1"/>
          <w:sz w:val="32"/>
          <w:szCs w:val="32"/>
        </w:rPr>
        <w:t>第十九条</w:t>
      </w:r>
      <w:r w:rsidRPr="00CD0B7E">
        <w:rPr>
          <w:rFonts w:hint="eastAsia"/>
          <w:color w:val="000000" w:themeColor="text1"/>
          <w:sz w:val="32"/>
          <w:szCs w:val="32"/>
        </w:rPr>
        <w:t>  被列入对象申请提前移出严重失信主体名单的，应当向</w:t>
      </w:r>
      <w:proofErr w:type="gramStart"/>
      <w:r w:rsidRPr="00CD0B7E">
        <w:rPr>
          <w:rFonts w:hint="eastAsia"/>
          <w:color w:val="000000" w:themeColor="text1"/>
          <w:sz w:val="32"/>
          <w:szCs w:val="32"/>
        </w:rPr>
        <w:t>作出</w:t>
      </w:r>
      <w:proofErr w:type="gramEnd"/>
      <w:r w:rsidRPr="00CD0B7E">
        <w:rPr>
          <w:rFonts w:hint="eastAsia"/>
          <w:color w:val="000000" w:themeColor="text1"/>
          <w:sz w:val="32"/>
          <w:szCs w:val="32"/>
        </w:rPr>
        <w:t>列入决定的应急管理部门提出申请。申请材料包括申请书和本办法第十八条规定的相关证明材料。</w:t>
      </w:r>
    </w:p>
    <w:p w14:paraId="7385A098"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hint="eastAsia"/>
          <w:color w:val="000000" w:themeColor="text1"/>
          <w:sz w:val="32"/>
          <w:szCs w:val="32"/>
        </w:rPr>
        <w:t>应急管理部门应当在收到提前移出严重失信主体名单申请后5个工作日内</w:t>
      </w:r>
      <w:proofErr w:type="gramStart"/>
      <w:r w:rsidRPr="00CD0B7E">
        <w:rPr>
          <w:rFonts w:hint="eastAsia"/>
          <w:color w:val="000000" w:themeColor="text1"/>
          <w:sz w:val="32"/>
          <w:szCs w:val="32"/>
        </w:rPr>
        <w:t>作出</w:t>
      </w:r>
      <w:proofErr w:type="gramEnd"/>
      <w:r w:rsidRPr="00CD0B7E">
        <w:rPr>
          <w:rFonts w:hint="eastAsia"/>
          <w:color w:val="000000" w:themeColor="text1"/>
          <w:sz w:val="32"/>
          <w:szCs w:val="32"/>
        </w:rPr>
        <w:t>是否受理的决定。申请材料齐全、符合条件的，应当予以受理。</w:t>
      </w:r>
    </w:p>
    <w:p w14:paraId="686EDEBA"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ascii="黑体" w:eastAsia="黑体" w:hAnsi="黑体" w:hint="eastAsia"/>
          <w:color w:val="000000" w:themeColor="text1"/>
          <w:sz w:val="32"/>
          <w:szCs w:val="32"/>
        </w:rPr>
        <w:lastRenderedPageBreak/>
        <w:t>第二十条</w:t>
      </w:r>
      <w:r w:rsidRPr="00CD0B7E">
        <w:rPr>
          <w:rFonts w:hint="eastAsia"/>
          <w:color w:val="000000" w:themeColor="text1"/>
          <w:sz w:val="32"/>
          <w:szCs w:val="32"/>
        </w:rPr>
        <w:t>  应急管理部门自受理提前移出严重失信主体名单申请之日起20个工作日内进行核实，决定是否准予提前移出。制作决定书并按照有关规定送达被列入对象；不予提前移出的，应当说明理由。</w:t>
      </w:r>
    </w:p>
    <w:p w14:paraId="00637AFD"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hint="eastAsia"/>
          <w:color w:val="000000" w:themeColor="text1"/>
          <w:sz w:val="32"/>
          <w:szCs w:val="32"/>
        </w:rPr>
        <w:t>设区的市级、县级应急管理部门</w:t>
      </w:r>
      <w:proofErr w:type="gramStart"/>
      <w:r w:rsidRPr="00CD0B7E">
        <w:rPr>
          <w:rFonts w:hint="eastAsia"/>
          <w:color w:val="000000" w:themeColor="text1"/>
          <w:sz w:val="32"/>
          <w:szCs w:val="32"/>
        </w:rPr>
        <w:t>作出</w:t>
      </w:r>
      <w:proofErr w:type="gramEnd"/>
      <w:r w:rsidRPr="00CD0B7E">
        <w:rPr>
          <w:rFonts w:hint="eastAsia"/>
          <w:color w:val="000000" w:themeColor="text1"/>
          <w:sz w:val="32"/>
          <w:szCs w:val="32"/>
        </w:rPr>
        <w:t>准予提前移出严重失信主体名单决定的，应当通过安全生产信用信息管理系统报告上一级应急管理部门。</w:t>
      </w:r>
    </w:p>
    <w:p w14:paraId="0371E13A"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ascii="黑体" w:eastAsia="黑体" w:hAnsi="黑体" w:hint="eastAsia"/>
          <w:color w:val="000000" w:themeColor="text1"/>
          <w:sz w:val="32"/>
          <w:szCs w:val="32"/>
        </w:rPr>
        <w:t>第二十一条</w:t>
      </w:r>
      <w:r w:rsidRPr="00CD0B7E">
        <w:rPr>
          <w:rFonts w:hint="eastAsia"/>
          <w:color w:val="000000" w:themeColor="text1"/>
          <w:sz w:val="32"/>
          <w:szCs w:val="32"/>
        </w:rPr>
        <w:t>  应急管理部门发现被列入对象申请提前移出严重失信主体名单存在隐瞒真实情况、弄虚作假情形的，应当撤销提前移出决定，恢复列入状态。名单管理期自恢复列入状态之日起重新计算。</w:t>
      </w:r>
    </w:p>
    <w:p w14:paraId="42DA3315"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ascii="黑体" w:eastAsia="黑体" w:hAnsi="黑体" w:hint="eastAsia"/>
          <w:color w:val="000000" w:themeColor="text1"/>
          <w:sz w:val="32"/>
          <w:szCs w:val="32"/>
        </w:rPr>
        <w:t>第二十二条</w:t>
      </w:r>
      <w:r w:rsidRPr="00CD0B7E">
        <w:rPr>
          <w:rFonts w:hint="eastAsia"/>
          <w:color w:val="000000" w:themeColor="text1"/>
          <w:sz w:val="32"/>
          <w:szCs w:val="32"/>
        </w:rPr>
        <w:t>  被列入对象对不予提前移出决定不服的，可以依法申请行政复议或者提起行政诉讼。</w:t>
      </w:r>
    </w:p>
    <w:p w14:paraId="47E679A4" w14:textId="77777777" w:rsidR="00CD0B7E" w:rsidRPr="00CD0B7E" w:rsidRDefault="00CD0B7E" w:rsidP="00CD0B7E">
      <w:pPr>
        <w:pStyle w:val="p"/>
        <w:shd w:val="clear" w:color="auto" w:fill="FFFFFF"/>
        <w:spacing w:before="312" w:beforeAutospacing="0" w:after="312" w:afterAutospacing="0" w:line="580" w:lineRule="atLeast"/>
        <w:jc w:val="center"/>
        <w:rPr>
          <w:color w:val="000000" w:themeColor="text1"/>
          <w:sz w:val="21"/>
          <w:szCs w:val="21"/>
        </w:rPr>
      </w:pPr>
      <w:r w:rsidRPr="00CD0B7E">
        <w:rPr>
          <w:rFonts w:ascii="黑体" w:eastAsia="黑体" w:hAnsi="黑体" w:hint="eastAsia"/>
          <w:color w:val="000000" w:themeColor="text1"/>
          <w:sz w:val="32"/>
          <w:szCs w:val="32"/>
        </w:rPr>
        <w:t>第五章</w:t>
      </w:r>
      <w:r w:rsidRPr="00CD0B7E">
        <w:rPr>
          <w:rFonts w:ascii="Calibri" w:eastAsia="黑体" w:hAnsi="Calibri" w:cs="Calibri"/>
          <w:color w:val="000000" w:themeColor="text1"/>
          <w:sz w:val="32"/>
          <w:szCs w:val="32"/>
        </w:rPr>
        <w:t>  </w:t>
      </w:r>
      <w:r w:rsidRPr="00CD0B7E">
        <w:rPr>
          <w:rFonts w:ascii="黑体" w:eastAsia="黑体" w:hAnsi="黑体" w:hint="eastAsia"/>
          <w:color w:val="000000" w:themeColor="text1"/>
          <w:sz w:val="32"/>
          <w:szCs w:val="32"/>
        </w:rPr>
        <w:t>附则</w:t>
      </w:r>
    </w:p>
    <w:p w14:paraId="6FD5676F"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ascii="黑体" w:eastAsia="黑体" w:hAnsi="黑体" w:hint="eastAsia"/>
          <w:color w:val="000000" w:themeColor="text1"/>
          <w:sz w:val="32"/>
          <w:szCs w:val="32"/>
        </w:rPr>
        <w:t>第二十三条</w:t>
      </w:r>
      <w:r w:rsidRPr="00CD0B7E">
        <w:rPr>
          <w:rFonts w:hint="eastAsia"/>
          <w:color w:val="000000" w:themeColor="text1"/>
          <w:sz w:val="32"/>
          <w:szCs w:val="32"/>
        </w:rPr>
        <w:t>  法律、行政法规和党中央、国务院政策文件对严重失信主体名单管理另有规定的，依照其规定执行。</w:t>
      </w:r>
    </w:p>
    <w:p w14:paraId="68EE0BE0"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ascii="黑体" w:eastAsia="黑体" w:hAnsi="黑体" w:hint="eastAsia"/>
          <w:color w:val="000000" w:themeColor="text1"/>
          <w:sz w:val="32"/>
          <w:szCs w:val="32"/>
        </w:rPr>
        <w:t>第二十四条</w:t>
      </w:r>
      <w:r w:rsidRPr="00CD0B7E">
        <w:rPr>
          <w:rFonts w:hint="eastAsia"/>
          <w:color w:val="000000" w:themeColor="text1"/>
          <w:sz w:val="32"/>
          <w:szCs w:val="32"/>
        </w:rPr>
        <w:t>  矿山安全监察机构对严重失信主体名单的管理工作可以参照本办法执行。</w:t>
      </w:r>
    </w:p>
    <w:p w14:paraId="0F4A88A3" w14:textId="77777777" w:rsidR="00CD0B7E" w:rsidRPr="00CD0B7E" w:rsidRDefault="00CD0B7E" w:rsidP="00CD0B7E">
      <w:pPr>
        <w:pStyle w:val="p"/>
        <w:shd w:val="clear" w:color="auto" w:fill="FFFFFF"/>
        <w:spacing w:before="0" w:beforeAutospacing="0" w:after="0" w:afterAutospacing="0" w:line="580" w:lineRule="atLeast"/>
        <w:ind w:firstLine="720"/>
        <w:jc w:val="both"/>
        <w:rPr>
          <w:color w:val="000000" w:themeColor="text1"/>
          <w:sz w:val="21"/>
          <w:szCs w:val="21"/>
        </w:rPr>
      </w:pPr>
      <w:r w:rsidRPr="00CD0B7E">
        <w:rPr>
          <w:rFonts w:ascii="黑体" w:eastAsia="黑体" w:hAnsi="黑体" w:hint="eastAsia"/>
          <w:color w:val="000000" w:themeColor="text1"/>
          <w:sz w:val="32"/>
          <w:szCs w:val="32"/>
        </w:rPr>
        <w:t>第二十五条</w:t>
      </w:r>
      <w:r w:rsidRPr="00CD0B7E">
        <w:rPr>
          <w:color w:val="000000" w:themeColor="text1"/>
          <w:sz w:val="32"/>
          <w:szCs w:val="32"/>
        </w:rPr>
        <w:t> 本办法自2023年10月1日起施行。《国家安全监管总局关于印发〈对安全生产领域失信行为开展联合惩戒的实施办法〉的通知》（安监总办〔2017〕49号）、</w:t>
      </w:r>
      <w:r w:rsidRPr="00CD0B7E">
        <w:rPr>
          <w:color w:val="000000" w:themeColor="text1"/>
          <w:sz w:val="32"/>
          <w:szCs w:val="32"/>
        </w:rPr>
        <w:lastRenderedPageBreak/>
        <w:t>《国家安全监管总局办公厅关于进一步加强安全生产领域失信行为信息管理工作的通知》（安</w:t>
      </w:r>
      <w:proofErr w:type="gramStart"/>
      <w:r w:rsidRPr="00CD0B7E">
        <w:rPr>
          <w:color w:val="000000" w:themeColor="text1"/>
          <w:sz w:val="32"/>
          <w:szCs w:val="32"/>
        </w:rPr>
        <w:t>监总厅</w:t>
      </w:r>
      <w:proofErr w:type="gramEnd"/>
      <w:r w:rsidRPr="00CD0B7E">
        <w:rPr>
          <w:color w:val="000000" w:themeColor="text1"/>
          <w:sz w:val="32"/>
          <w:szCs w:val="32"/>
        </w:rPr>
        <w:t>〔2017〕59号）同时废止。</w:t>
      </w:r>
    </w:p>
    <w:bookmarkEnd w:id="0"/>
    <w:p w14:paraId="5CFDCBCF" w14:textId="77777777" w:rsidR="00D00807" w:rsidRPr="00CD0B7E" w:rsidRDefault="00D00807">
      <w:pPr>
        <w:rPr>
          <w:color w:val="000000" w:themeColor="text1"/>
        </w:rPr>
      </w:pPr>
    </w:p>
    <w:sectPr w:rsidR="00D00807" w:rsidRPr="00CD0B7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54D6"/>
    <w:rsid w:val="00327558"/>
    <w:rsid w:val="008054D6"/>
    <w:rsid w:val="00CD0B7E"/>
    <w:rsid w:val="00D008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1A901"/>
  <w15:chartTrackingRefBased/>
  <w15:docId w15:val="{CCDD954E-79C4-4D5E-B596-20382AA71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
    <w:name w:val="p"/>
    <w:basedOn w:val="a"/>
    <w:rsid w:val="00CD0B7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9711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9</Pages>
  <Words>500</Words>
  <Characters>2856</Characters>
  <Application>Microsoft Office Word</Application>
  <DocSecurity>0</DocSecurity>
  <Lines>23</Lines>
  <Paragraphs>6</Paragraphs>
  <ScaleCrop>false</ScaleCrop>
  <Company/>
  <LinksUpToDate>false</LinksUpToDate>
  <CharactersWithSpaces>3350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2024-03-07T02:39:00Z</dcterms:created>
  <dcterms:modified xsi:type="dcterms:W3CDTF">2024-03-07T02:39:00Z</dcterms:modified>
</cp:coreProperties>
</file>