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_GBK"/>
          <w:bCs/>
          <w:sz w:val="44"/>
          <w:szCs w:val="44"/>
        </w:rPr>
      </w:pPr>
    </w:p>
    <w:p>
      <w:pPr>
        <w:spacing w:line="560" w:lineRule="exact"/>
        <w:jc w:val="center"/>
        <w:rPr>
          <w:rFonts w:eastAsia="方正小标宋_GBK"/>
          <w:bCs/>
          <w:sz w:val="44"/>
          <w:szCs w:val="44"/>
        </w:rPr>
      </w:pPr>
    </w:p>
    <w:p>
      <w:pPr>
        <w:spacing w:line="560" w:lineRule="exact"/>
        <w:jc w:val="center"/>
        <w:rPr>
          <w:rFonts w:eastAsia="方正小标宋_GBK"/>
          <w:bCs/>
          <w:sz w:val="44"/>
          <w:szCs w:val="44"/>
        </w:rPr>
      </w:pPr>
    </w:p>
    <w:p>
      <w:pPr>
        <w:spacing w:line="560" w:lineRule="exact"/>
        <w:jc w:val="center"/>
        <w:rPr>
          <w:rFonts w:eastAsia="方正小标宋_GBK"/>
          <w:bCs/>
          <w:sz w:val="44"/>
          <w:szCs w:val="44"/>
        </w:rPr>
      </w:pPr>
      <w:r>
        <w:rPr>
          <w:rFonts w:eastAsia="方正小标宋_GBK"/>
          <w:bCs/>
          <w:sz w:val="44"/>
          <w:szCs w:val="44"/>
        </w:rPr>
        <w:t>市政府办公室关于2023年第</w:t>
      </w:r>
      <w:r>
        <w:rPr>
          <w:rFonts w:hint="eastAsia" w:eastAsia="方正小标宋_GBK"/>
          <w:bCs/>
          <w:sz w:val="44"/>
          <w:szCs w:val="44"/>
        </w:rPr>
        <w:t>三</w:t>
      </w:r>
      <w:r>
        <w:rPr>
          <w:rFonts w:eastAsia="方正小标宋_GBK"/>
          <w:bCs/>
          <w:sz w:val="44"/>
          <w:szCs w:val="44"/>
        </w:rPr>
        <w:t>季度</w:t>
      </w:r>
    </w:p>
    <w:p>
      <w:pPr>
        <w:spacing w:line="560" w:lineRule="exact"/>
        <w:jc w:val="center"/>
        <w:rPr>
          <w:rFonts w:eastAsia="方正小标宋_GBK"/>
          <w:bCs/>
          <w:sz w:val="44"/>
          <w:szCs w:val="44"/>
        </w:rPr>
      </w:pPr>
      <w:r>
        <w:rPr>
          <w:rFonts w:eastAsia="方正小标宋_GBK"/>
          <w:bCs/>
          <w:sz w:val="44"/>
          <w:szCs w:val="44"/>
        </w:rPr>
        <w:t>全市政务新媒体检查情况的通报</w:t>
      </w:r>
    </w:p>
    <w:p>
      <w:pPr>
        <w:spacing w:line="560" w:lineRule="exact"/>
        <w:jc w:val="center"/>
        <w:rPr>
          <w:rFonts w:eastAsia="方正小标宋_GBK"/>
          <w:bCs/>
          <w:szCs w:val="32"/>
        </w:rPr>
      </w:pPr>
    </w:p>
    <w:p>
      <w:pPr>
        <w:spacing w:line="540" w:lineRule="exact"/>
        <w:rPr>
          <w:rFonts w:ascii="方正仿宋_GBK" w:eastAsia="方正仿宋_GBK"/>
          <w:bCs/>
          <w:szCs w:val="32"/>
        </w:rPr>
      </w:pPr>
      <w:r>
        <w:rPr>
          <w:rFonts w:hint="eastAsia" w:ascii="方正仿宋_GBK" w:eastAsia="方正仿宋_GBK"/>
          <w:bCs/>
          <w:szCs w:val="32"/>
        </w:rPr>
        <w:t>各市（县）、区人民政府，市各有关部门和单位：</w:t>
      </w:r>
    </w:p>
    <w:p>
      <w:pPr>
        <w:spacing w:line="540" w:lineRule="exact"/>
        <w:ind w:firstLine="555"/>
        <w:rPr>
          <w:rFonts w:eastAsia="方正仿宋_GBK"/>
          <w:szCs w:val="32"/>
        </w:rPr>
      </w:pPr>
      <w:r>
        <w:rPr>
          <w:rFonts w:hint="eastAsia" w:ascii="方正仿宋_GBK" w:eastAsia="方正仿宋_GBK"/>
          <w:bCs/>
          <w:szCs w:val="32"/>
        </w:rPr>
        <w:t>根据《国务院办公厅秘书局关于印发政府网站与政务新媒体检查指标、监管工作年度考核指标的通知</w:t>
      </w:r>
      <w:bookmarkStart w:id="0" w:name="_Hlk139586801"/>
      <w:r>
        <w:rPr>
          <w:rFonts w:hint="eastAsia" w:ascii="方正仿宋_GBK" w:eastAsia="方正仿宋_GBK"/>
          <w:bCs/>
          <w:szCs w:val="32"/>
        </w:rPr>
        <w:t>》 （</w:t>
      </w:r>
      <w:r>
        <w:rPr>
          <w:rFonts w:eastAsia="方正仿宋_GBK"/>
          <w:bCs/>
          <w:szCs w:val="32"/>
        </w:rPr>
        <w:t>国办秘函〔2019〕19号</w:t>
      </w:r>
      <w:bookmarkEnd w:id="0"/>
      <w:r>
        <w:rPr>
          <w:rFonts w:hint="eastAsia" w:ascii="方正仿宋_GBK" w:eastAsia="方正仿宋_GBK"/>
          <w:bCs/>
          <w:szCs w:val="32"/>
        </w:rPr>
        <w:t>）和</w:t>
      </w:r>
      <w:r>
        <w:rPr>
          <w:rFonts w:eastAsia="方正仿宋_GBK"/>
          <w:szCs w:val="32"/>
        </w:rPr>
        <w:t>《省政府办公厅关于</w:t>
      </w:r>
      <w:r>
        <w:rPr>
          <w:rFonts w:hint="eastAsia" w:eastAsia="方正仿宋_GBK"/>
          <w:szCs w:val="32"/>
        </w:rPr>
        <w:t>印发江苏省政务新媒体规范发展指引的通知</w:t>
      </w:r>
      <w:r>
        <w:rPr>
          <w:rFonts w:eastAsia="方正仿宋_GBK"/>
          <w:szCs w:val="32"/>
        </w:rPr>
        <w:t>》（</w:t>
      </w:r>
      <w:r>
        <w:rPr>
          <w:rFonts w:hint="eastAsia" w:eastAsia="方正仿宋_GBK"/>
          <w:szCs w:val="32"/>
        </w:rPr>
        <w:t>苏政</w:t>
      </w:r>
      <w:bookmarkStart w:id="1" w:name="_Hlk139582633"/>
      <w:r>
        <w:rPr>
          <w:rFonts w:hint="eastAsia" w:eastAsia="方正仿宋_GBK"/>
          <w:szCs w:val="32"/>
        </w:rPr>
        <w:t>办函〔202</w:t>
      </w:r>
      <w:r>
        <w:rPr>
          <w:rFonts w:eastAsia="方正仿宋_GBK"/>
          <w:szCs w:val="32"/>
        </w:rPr>
        <w:t>1</w:t>
      </w:r>
      <w:r>
        <w:rPr>
          <w:rFonts w:hint="eastAsia" w:eastAsia="方正仿宋_GBK"/>
          <w:szCs w:val="32"/>
        </w:rPr>
        <w:t>〕</w:t>
      </w:r>
      <w:bookmarkEnd w:id="1"/>
      <w:r>
        <w:rPr>
          <w:rFonts w:eastAsia="方正仿宋_GBK"/>
          <w:szCs w:val="32"/>
        </w:rPr>
        <w:t>99</w:t>
      </w:r>
      <w:r>
        <w:rPr>
          <w:rFonts w:hint="eastAsia" w:eastAsia="方正仿宋_GBK"/>
          <w:szCs w:val="32"/>
        </w:rPr>
        <w:t>号</w:t>
      </w:r>
      <w:r>
        <w:rPr>
          <w:rFonts w:eastAsia="方正仿宋_GBK"/>
          <w:szCs w:val="32"/>
        </w:rPr>
        <w:t>）要求</w:t>
      </w:r>
      <w:r>
        <w:rPr>
          <w:rFonts w:hint="eastAsia" w:eastAsia="方正仿宋_GBK"/>
          <w:szCs w:val="32"/>
        </w:rPr>
        <w:t>，市政府办公室组织开展了2</w:t>
      </w:r>
      <w:r>
        <w:rPr>
          <w:rFonts w:eastAsia="方正仿宋_GBK"/>
          <w:szCs w:val="32"/>
        </w:rPr>
        <w:t>023</w:t>
      </w:r>
      <w:r>
        <w:rPr>
          <w:rFonts w:hint="eastAsia" w:eastAsia="方正仿宋_GBK"/>
          <w:szCs w:val="32"/>
        </w:rPr>
        <w:t>年度第三季度全市政务新媒体检查，现将有关情况通报如下。</w:t>
      </w:r>
    </w:p>
    <w:p>
      <w:pPr>
        <w:spacing w:line="540" w:lineRule="exact"/>
        <w:ind w:firstLine="632" w:firstLineChars="200"/>
        <w:rPr>
          <w:rFonts w:ascii="方正黑体_GBK" w:eastAsia="方正黑体_GBK"/>
          <w:bCs/>
          <w:szCs w:val="32"/>
        </w:rPr>
      </w:pPr>
      <w:r>
        <w:rPr>
          <w:rFonts w:hint="eastAsia" w:ascii="方正黑体_GBK" w:eastAsia="方正黑体_GBK"/>
          <w:szCs w:val="32"/>
        </w:rPr>
        <w:t>一、总体情况</w:t>
      </w:r>
    </w:p>
    <w:p>
      <w:pPr>
        <w:spacing w:line="540" w:lineRule="exact"/>
        <w:ind w:firstLine="632" w:firstLineChars="200"/>
        <w:rPr>
          <w:rFonts w:eastAsia="方正仿宋_GBK"/>
          <w:bCs/>
          <w:szCs w:val="32"/>
        </w:rPr>
      </w:pPr>
      <w:r>
        <w:rPr>
          <w:rFonts w:eastAsia="方正仿宋_GBK"/>
          <w:bCs/>
          <w:szCs w:val="32"/>
        </w:rPr>
        <w:t>截至 2023 年 9 月15日，</w:t>
      </w:r>
      <w:r>
        <w:rPr>
          <w:rFonts w:hint="eastAsia" w:eastAsia="方正仿宋_GBK"/>
          <w:bCs/>
          <w:szCs w:val="32"/>
        </w:rPr>
        <w:t>全市政府系统已备案政务新媒体4</w:t>
      </w:r>
      <w:r>
        <w:rPr>
          <w:rFonts w:eastAsia="方正仿宋_GBK"/>
          <w:bCs/>
          <w:szCs w:val="32"/>
        </w:rPr>
        <w:t>35</w:t>
      </w:r>
      <w:r>
        <w:rPr>
          <w:rFonts w:hint="eastAsia" w:eastAsia="方正仿宋_GBK"/>
          <w:bCs/>
          <w:szCs w:val="32"/>
        </w:rPr>
        <w:t>个。按开设主体分，市级部门单位开设政务新媒体 1</w:t>
      </w:r>
      <w:r>
        <w:rPr>
          <w:rFonts w:eastAsia="方正仿宋_GBK"/>
          <w:bCs/>
          <w:szCs w:val="32"/>
        </w:rPr>
        <w:t>20</w:t>
      </w:r>
      <w:r>
        <w:rPr>
          <w:rFonts w:hint="eastAsia" w:eastAsia="方正仿宋_GBK"/>
          <w:bCs/>
          <w:szCs w:val="32"/>
        </w:rPr>
        <w:t>个，各市（县）、区政府及其所属部门、街道开设政务新媒体 31</w:t>
      </w:r>
      <w:r>
        <w:rPr>
          <w:rFonts w:eastAsia="方正仿宋_GBK"/>
          <w:bCs/>
          <w:szCs w:val="32"/>
        </w:rPr>
        <w:t>5</w:t>
      </w:r>
      <w:r>
        <w:rPr>
          <w:rFonts w:hint="eastAsia" w:eastAsia="方正仿宋_GBK"/>
          <w:bCs/>
          <w:szCs w:val="32"/>
        </w:rPr>
        <w:t xml:space="preserve">个；按政务新媒体类型分，微信公众号 </w:t>
      </w:r>
      <w:r>
        <w:rPr>
          <w:rFonts w:eastAsia="方正仿宋_GBK"/>
          <w:bCs/>
          <w:szCs w:val="32"/>
        </w:rPr>
        <w:t>292</w:t>
      </w:r>
      <w:r>
        <w:rPr>
          <w:rFonts w:hint="eastAsia" w:eastAsia="方正仿宋_GBK"/>
          <w:bCs/>
          <w:szCs w:val="32"/>
        </w:rPr>
        <w:t xml:space="preserve"> 个，微博 7</w:t>
      </w:r>
      <w:r>
        <w:rPr>
          <w:rFonts w:eastAsia="方正仿宋_GBK"/>
          <w:bCs/>
          <w:szCs w:val="32"/>
        </w:rPr>
        <w:t>1</w:t>
      </w:r>
      <w:r>
        <w:rPr>
          <w:rFonts w:hint="eastAsia" w:eastAsia="方正仿宋_GBK"/>
          <w:bCs/>
          <w:szCs w:val="32"/>
        </w:rPr>
        <w:t>个，移动客户端5个，其他类型6</w:t>
      </w:r>
      <w:r>
        <w:rPr>
          <w:rFonts w:eastAsia="方正仿宋_GBK"/>
          <w:bCs/>
          <w:szCs w:val="32"/>
        </w:rPr>
        <w:t>7</w:t>
      </w:r>
      <w:r>
        <w:rPr>
          <w:rFonts w:hint="eastAsia" w:eastAsia="方正仿宋_GBK"/>
          <w:bCs/>
          <w:szCs w:val="32"/>
        </w:rPr>
        <w:t>个。</w:t>
      </w:r>
    </w:p>
    <w:p>
      <w:pPr>
        <w:spacing w:line="540" w:lineRule="exact"/>
        <w:ind w:firstLine="555"/>
        <w:rPr>
          <w:rFonts w:eastAsia="方正仿宋_GBK"/>
          <w:bCs/>
          <w:szCs w:val="32"/>
        </w:rPr>
      </w:pPr>
      <w:r>
        <w:rPr>
          <w:rFonts w:hint="eastAsia" w:eastAsia="方正仿宋_GBK"/>
          <w:bCs/>
          <w:szCs w:val="32"/>
        </w:rPr>
        <w:t>市政府办公室于</w:t>
      </w:r>
      <w:r>
        <w:rPr>
          <w:rFonts w:eastAsia="方正仿宋_GBK"/>
          <w:bCs/>
          <w:szCs w:val="32"/>
        </w:rPr>
        <w:t>9</w:t>
      </w:r>
      <w:r>
        <w:rPr>
          <w:rFonts w:hint="eastAsia" w:eastAsia="方正仿宋_GBK"/>
          <w:bCs/>
          <w:szCs w:val="32"/>
        </w:rPr>
        <w:t>月采取人技相结合的方式，组织对全市所有政务新媒体进行了全覆盖检查，检查数量超过国务院办公厅规定的政务新媒体账号总数10%以上的要求。从检查结果看，绝大多数政务新媒体均能按照国、省监管要求，认真做好信息发布和互动回应工作，符合检查指标要求，未发现存在安全、泄密严重事故等情况，整体合格率9</w:t>
      </w:r>
      <w:r>
        <w:rPr>
          <w:rFonts w:eastAsia="方正仿宋_GBK"/>
          <w:bCs/>
          <w:szCs w:val="32"/>
        </w:rPr>
        <w:t>8</w:t>
      </w:r>
      <w:r>
        <w:rPr>
          <w:rFonts w:hint="eastAsia" w:eastAsia="方正仿宋_GBK"/>
          <w:bCs/>
          <w:szCs w:val="32"/>
        </w:rPr>
        <w:t>.</w:t>
      </w:r>
      <w:r>
        <w:rPr>
          <w:rFonts w:eastAsia="方正仿宋_GBK"/>
          <w:bCs/>
          <w:szCs w:val="32"/>
        </w:rPr>
        <w:t>5</w:t>
      </w:r>
      <w:r>
        <w:rPr>
          <w:rFonts w:hint="eastAsia" w:eastAsia="方正仿宋_GBK"/>
          <w:bCs/>
          <w:szCs w:val="32"/>
        </w:rPr>
        <w:t>%，总体运行良好。</w:t>
      </w:r>
    </w:p>
    <w:p>
      <w:pPr>
        <w:spacing w:line="540" w:lineRule="exact"/>
        <w:ind w:firstLine="555"/>
        <w:rPr>
          <w:rFonts w:ascii="方正黑体_GBK" w:eastAsia="方正黑体_GBK"/>
          <w:szCs w:val="32"/>
        </w:rPr>
      </w:pPr>
      <w:r>
        <w:rPr>
          <w:rFonts w:hint="eastAsia" w:ascii="方正黑体_GBK" w:eastAsia="方正黑体_GBK"/>
          <w:szCs w:val="32"/>
        </w:rPr>
        <w:t>二、工作亮点</w:t>
      </w:r>
    </w:p>
    <w:p>
      <w:pPr>
        <w:spacing w:line="540" w:lineRule="exact"/>
        <w:ind w:firstLine="632" w:firstLineChars="200"/>
        <w:rPr>
          <w:rFonts w:eastAsia="方正仿宋_GBK"/>
          <w:bCs/>
          <w:szCs w:val="32"/>
        </w:rPr>
      </w:pPr>
      <w:r>
        <w:rPr>
          <w:rFonts w:hint="eastAsia" w:eastAsia="方正仿宋_GBK"/>
          <w:bCs/>
          <w:szCs w:val="32"/>
        </w:rPr>
        <w:t>省政府办公厅</w:t>
      </w:r>
      <w:r>
        <w:rPr>
          <w:rFonts w:hint="eastAsia" w:eastAsia="方正仿宋_GBK"/>
          <w:bCs/>
          <w:szCs w:val="32"/>
          <w:lang w:eastAsia="zh-CN"/>
        </w:rPr>
        <w:t>在</w:t>
      </w:r>
      <w:r>
        <w:rPr>
          <w:rFonts w:hint="eastAsia" w:eastAsia="方正仿宋_GBK"/>
          <w:bCs/>
          <w:szCs w:val="32"/>
        </w:rPr>
        <w:t>《第三季度全省政务新媒体检查情况的通报》中，充分肯定了我市新吴区加强调研促进街道政务新媒体健康发展的相关工作；市公安局进一步规范条线账号集约化管理，关停注销多个无运营维护意义的账号；市文广旅游局积极探索提升政务新媒体内容创作水平，订阅号推送的《无锡梦华录》系列美文、视频号推送的微电影《塑说》等优质内容广受好评。</w:t>
      </w:r>
    </w:p>
    <w:p>
      <w:pPr>
        <w:spacing w:line="540" w:lineRule="exact"/>
        <w:ind w:firstLine="555"/>
        <w:rPr>
          <w:rFonts w:ascii="方正黑体_GBK" w:eastAsia="方正黑体_GBK"/>
          <w:szCs w:val="32"/>
        </w:rPr>
      </w:pPr>
      <w:r>
        <w:rPr>
          <w:rFonts w:hint="eastAsia" w:ascii="方正黑体_GBK" w:eastAsia="方正黑体_GBK"/>
          <w:szCs w:val="32"/>
        </w:rPr>
        <w:t>三、存在问题</w:t>
      </w:r>
    </w:p>
    <w:p>
      <w:pPr>
        <w:spacing w:line="540" w:lineRule="exact"/>
        <w:ind w:firstLine="632" w:firstLineChars="200"/>
        <w:rPr>
          <w:rFonts w:eastAsia="方正仿宋_GBK"/>
          <w:bCs/>
          <w:szCs w:val="32"/>
        </w:rPr>
      </w:pPr>
      <w:r>
        <w:rPr>
          <w:rFonts w:hint="eastAsia" w:eastAsia="方正仿宋_GBK"/>
          <w:bCs/>
          <w:szCs w:val="32"/>
        </w:rPr>
        <w:t>本季度，“梁溪城管”微信公众号等账号存在更新不及时问题；“无锡医保”微信公众号存在内容发布不当问题；“无锡生态环境”“江阴生态环境”微信公众号存在链接商业广告问题；“聚力东港”微信公众号将“中华人民共和国”错误表述成“中华民族共和国”；“无锡国防动员”微信公众号存在功能无法使用问题。同时，个别基层政务新媒体内容表述错误、审核不规范等问题亟待加以改进。</w:t>
      </w:r>
    </w:p>
    <w:p>
      <w:pPr>
        <w:spacing w:line="540" w:lineRule="exact"/>
        <w:ind w:firstLine="632" w:firstLineChars="200"/>
        <w:rPr>
          <w:rFonts w:ascii="方正黑体_GBK" w:eastAsia="方正黑体_GBK"/>
          <w:szCs w:val="32"/>
        </w:rPr>
      </w:pPr>
      <w:r>
        <w:rPr>
          <w:rFonts w:hint="eastAsia" w:ascii="方正黑体_GBK" w:eastAsia="方正黑体_GBK"/>
          <w:szCs w:val="32"/>
        </w:rPr>
        <w:t>四、工作要求</w:t>
      </w:r>
    </w:p>
    <w:p>
      <w:pPr>
        <w:widowControl/>
        <w:shd w:val="clear" w:color="auto" w:fill="FFFFFF"/>
        <w:spacing w:line="540" w:lineRule="exact"/>
        <w:ind w:firstLine="632" w:firstLineChars="200"/>
        <w:jc w:val="left"/>
        <w:rPr>
          <w:rFonts w:eastAsia="方正仿宋_GBK"/>
          <w:bCs/>
          <w:szCs w:val="32"/>
        </w:rPr>
      </w:pPr>
      <w:r>
        <w:rPr>
          <w:rFonts w:hint="eastAsia" w:ascii="楷体" w:hAnsi="楷体" w:eastAsia="楷体" w:cs="楷体"/>
          <w:bCs/>
          <w:szCs w:val="32"/>
        </w:rPr>
        <w:t>（一）强化内容保障，夯实主体责任。</w:t>
      </w:r>
      <w:r>
        <w:rPr>
          <w:rFonts w:hint="eastAsia" w:eastAsia="方正仿宋_GBK"/>
          <w:bCs/>
          <w:szCs w:val="32"/>
        </w:rPr>
        <w:t>各责任单位要始终把政治建设摆在做好政务新媒体工作的首要位置，严格落实网络意识形态责任制，认真执行信息发布“三审三校”</w:t>
      </w:r>
      <w:r>
        <w:rPr>
          <w:rFonts w:hint="eastAsia" w:eastAsia="方正仿宋_GBK"/>
          <w:bCs/>
          <w:szCs w:val="32"/>
          <w:lang w:eastAsia="zh-CN"/>
        </w:rPr>
        <w:t>、</w:t>
      </w:r>
      <w:r>
        <w:rPr>
          <w:rFonts w:hint="eastAsia" w:eastAsia="方正仿宋_GBK"/>
          <w:szCs w:val="32"/>
        </w:rPr>
        <w:t>值班读网等制度，</w:t>
      </w:r>
      <w:r>
        <w:rPr>
          <w:rFonts w:hint="eastAsia" w:eastAsia="方正仿宋_GBK"/>
          <w:bCs/>
          <w:szCs w:val="32"/>
        </w:rPr>
        <w:t>切实把好政治关、法律关、政策关、保密关、文字关，</w:t>
      </w:r>
      <w:r>
        <w:rPr>
          <w:rFonts w:hint="eastAsia" w:eastAsia="方正仿宋_GBK"/>
          <w:szCs w:val="32"/>
        </w:rPr>
        <w:t>确保内容准确，表述规范，</w:t>
      </w:r>
      <w:r>
        <w:rPr>
          <w:rFonts w:hint="eastAsia" w:eastAsia="方正仿宋_GBK"/>
          <w:bCs/>
          <w:szCs w:val="32"/>
        </w:rPr>
        <w:t>坚决杜绝严重表述错误等问题。第四季度我市将对本年度政务新媒体发布的内容进行全面复检，对反复出现严重表述错误等问题进行严肃处理。</w:t>
      </w:r>
    </w:p>
    <w:p>
      <w:pPr>
        <w:spacing w:line="540" w:lineRule="exact"/>
        <w:ind w:firstLine="632" w:firstLineChars="200"/>
        <w:rPr>
          <w:rFonts w:eastAsia="方正仿宋_GBK"/>
          <w:bCs/>
          <w:szCs w:val="32"/>
        </w:rPr>
      </w:pPr>
      <w:r>
        <w:rPr>
          <w:rFonts w:hint="eastAsia" w:ascii="楷体" w:hAnsi="楷体" w:eastAsia="楷体" w:cs="楷体"/>
          <w:bCs/>
          <w:szCs w:val="32"/>
        </w:rPr>
        <w:t>（二）完善功能设计，强化互动交流。</w:t>
      </w:r>
      <w:r>
        <w:rPr>
          <w:rFonts w:hint="eastAsia" w:eastAsia="方正仿宋_GBK"/>
          <w:bCs/>
          <w:szCs w:val="32"/>
        </w:rPr>
        <w:t>各责任单位要将政务新媒体作为深化政务公开、提升政府服务水平的重要平台，进一步规范菜单栏目分类设置，完善服务功能。推荐各政务新媒体采取链接网站互动交流模块的方式开设互动留言类栏目，提高互动回应及时性，让“指尖政务”</w:t>
      </w:r>
      <w:r>
        <w:rPr>
          <w:rFonts w:eastAsia="方正仿宋_GBK"/>
          <w:bCs/>
          <w:szCs w:val="32"/>
        </w:rPr>
        <w:t>成为便民利企的好帮手</w:t>
      </w:r>
      <w:r>
        <w:rPr>
          <w:rFonts w:hint="eastAsia" w:eastAsia="方正仿宋_GBK"/>
          <w:bCs/>
          <w:szCs w:val="32"/>
        </w:rPr>
        <w:t>。</w:t>
      </w:r>
    </w:p>
    <w:p>
      <w:pPr>
        <w:widowControl/>
        <w:shd w:val="clear" w:color="auto" w:fill="FFFFFF"/>
        <w:spacing w:line="540" w:lineRule="exact"/>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w:t>
      </w:r>
      <w:r>
        <w:rPr>
          <w:rFonts w:hint="eastAsia" w:ascii="楷体" w:hAnsi="楷体" w:eastAsia="楷体" w:cs="楷体"/>
          <w:bCs/>
          <w:szCs w:val="32"/>
        </w:rPr>
        <w:t xml:space="preserve"> （三）加强业务培训，落实问题整改。</w:t>
      </w:r>
      <w:r>
        <w:rPr>
          <w:rFonts w:hint="eastAsia" w:eastAsia="方正仿宋_GBK"/>
          <w:szCs w:val="32"/>
        </w:rPr>
        <w:t>各责任单位要结合问题整改开展自查自纠，全面总结工作中取得的经验和存在问题的根源，完善</w:t>
      </w:r>
      <w:r>
        <w:rPr>
          <w:rFonts w:hint="eastAsia" w:eastAsia="方正仿宋_GBK"/>
          <w:bCs/>
          <w:szCs w:val="32"/>
        </w:rPr>
        <w:t>工作交接制度</w:t>
      </w:r>
      <w:r>
        <w:rPr>
          <w:rFonts w:hint="eastAsia" w:eastAsia="方正仿宋_GBK"/>
          <w:szCs w:val="32"/>
        </w:rPr>
        <w:t>。第四季度我市将举办政务新媒体业务培训，通过开展业务交流与学习，进一步提高工作人员责任意识和政务新媒体运维能力。</w:t>
      </w:r>
    </w:p>
    <w:p>
      <w:pPr>
        <w:spacing w:line="560" w:lineRule="exact"/>
        <w:ind w:firstLine="632" w:firstLineChars="200"/>
        <w:rPr>
          <w:rFonts w:eastAsia="方正仿宋_GBK"/>
          <w:szCs w:val="32"/>
        </w:rPr>
      </w:pPr>
      <w:r>
        <w:rPr>
          <w:rFonts w:hint="eastAsia" w:eastAsia="方正仿宋_GBK"/>
          <w:bCs/>
          <w:szCs w:val="32"/>
        </w:rPr>
        <w:t xml:space="preserve"> </w:t>
      </w:r>
      <w:r>
        <w:rPr>
          <w:rFonts w:eastAsia="方正仿宋_GBK"/>
          <w:bCs/>
          <w:szCs w:val="32"/>
        </w:rPr>
        <w:t xml:space="preserve">  </w:t>
      </w:r>
    </w:p>
    <w:p>
      <w:pPr>
        <w:spacing w:line="540" w:lineRule="exact"/>
        <w:ind w:firstLine="555"/>
        <w:rPr>
          <w:rFonts w:eastAsia="方正仿宋_GBK"/>
          <w:bCs/>
          <w:szCs w:val="32"/>
        </w:rPr>
      </w:pPr>
      <w:r>
        <w:rPr>
          <w:rFonts w:hint="eastAsia" w:eastAsia="方正仿宋_GBK"/>
          <w:bCs/>
          <w:szCs w:val="32"/>
        </w:rPr>
        <w:t>附件：</w:t>
      </w:r>
      <w:bookmarkStart w:id="2" w:name="_Hlk147846742"/>
      <w:bookmarkStart w:id="3" w:name="_Hlk147824612"/>
      <w:r>
        <w:rPr>
          <w:rFonts w:hint="eastAsia" w:eastAsia="方正仿宋_GBK"/>
          <w:bCs/>
          <w:szCs w:val="32"/>
        </w:rPr>
        <w:t>2023年第三季度政务新媒体问题清单</w:t>
      </w:r>
      <w:r>
        <w:rPr>
          <w:rFonts w:eastAsia="方正仿宋_GBK"/>
          <w:bCs/>
          <w:szCs w:val="32"/>
        </w:rPr>
        <w:t xml:space="preserve"> </w:t>
      </w:r>
      <w:bookmarkEnd w:id="2"/>
      <w:r>
        <w:rPr>
          <w:rFonts w:eastAsia="方正仿宋_GBK"/>
          <w:bCs/>
          <w:szCs w:val="32"/>
        </w:rPr>
        <w:t xml:space="preserve"> </w:t>
      </w:r>
      <w:bookmarkEnd w:id="3"/>
      <w:r>
        <w:rPr>
          <w:rFonts w:eastAsia="方正仿宋_GBK"/>
          <w:bCs/>
          <w:szCs w:val="32"/>
        </w:rPr>
        <w:t xml:space="preserve">                                         </w:t>
      </w:r>
    </w:p>
    <w:p>
      <w:pPr>
        <w:spacing w:line="540" w:lineRule="exact"/>
        <w:rPr>
          <w:rFonts w:eastAsia="方正仿宋_GBK"/>
          <w:bCs/>
          <w:szCs w:val="32"/>
        </w:rPr>
      </w:pPr>
      <w:bookmarkStart w:id="4" w:name="_GoBack"/>
      <w:bookmarkEnd w:id="4"/>
    </w:p>
    <w:p>
      <w:pPr>
        <w:spacing w:line="540" w:lineRule="exact"/>
        <w:ind w:left="2686" w:leftChars="850"/>
        <w:rPr>
          <w:rFonts w:eastAsia="方正仿宋_GBK"/>
          <w:bCs/>
          <w:szCs w:val="32"/>
        </w:rPr>
      </w:pPr>
      <w:r>
        <w:rPr>
          <w:rFonts w:eastAsia="方正仿宋_GBK"/>
          <w:bCs/>
          <w:szCs w:val="32"/>
        </w:rPr>
        <w:t xml:space="preserve">        </w:t>
      </w:r>
      <w:r>
        <w:rPr>
          <w:rFonts w:hint="eastAsia" w:eastAsia="方正仿宋_GBK"/>
          <w:bCs/>
          <w:szCs w:val="32"/>
        </w:rPr>
        <w:t>无锡市人民政府办公室</w:t>
      </w:r>
    </w:p>
    <w:p>
      <w:pPr>
        <w:spacing w:line="540" w:lineRule="exact"/>
        <w:ind w:left="5530" w:leftChars="50" w:hanging="5372" w:hangingChars="1700"/>
        <w:rPr>
          <w:rFonts w:eastAsia="方正仿宋_GBK"/>
          <w:szCs w:val="24"/>
        </w:rPr>
      </w:pPr>
      <w:r>
        <w:rPr>
          <w:rFonts w:hint="eastAsia" w:eastAsia="方正仿宋_GBK"/>
          <w:bCs/>
          <w:szCs w:val="32"/>
        </w:rPr>
        <w:t xml:space="preserve"> </w:t>
      </w:r>
      <w:r>
        <w:rPr>
          <w:rFonts w:eastAsia="方正仿宋_GBK"/>
          <w:bCs/>
          <w:szCs w:val="32"/>
        </w:rPr>
        <w:t xml:space="preserve">                         </w:t>
      </w:r>
      <w:r>
        <w:rPr>
          <w:rFonts w:hint="eastAsia" w:eastAsia="方正仿宋_GBK"/>
          <w:bCs/>
          <w:szCs w:val="32"/>
        </w:rPr>
        <w:t>2023年</w:t>
      </w:r>
      <w:r>
        <w:rPr>
          <w:rFonts w:eastAsia="方正仿宋_GBK"/>
          <w:bCs/>
          <w:szCs w:val="32"/>
        </w:rPr>
        <w:t>10</w:t>
      </w:r>
      <w:r>
        <w:rPr>
          <w:rFonts w:hint="eastAsia" w:eastAsia="方正仿宋_GBK"/>
          <w:bCs/>
          <w:szCs w:val="32"/>
        </w:rPr>
        <w:t>月</w:t>
      </w:r>
      <w:r>
        <w:rPr>
          <w:rFonts w:eastAsia="方正仿宋_GBK"/>
          <w:bCs/>
          <w:szCs w:val="32"/>
        </w:rPr>
        <w:t>17</w:t>
      </w:r>
      <w:r>
        <w:rPr>
          <w:rFonts w:hint="eastAsia" w:eastAsia="方正仿宋_GBK"/>
          <w:bCs/>
          <w:szCs w:val="32"/>
        </w:rPr>
        <w:t>日</w:t>
      </w:r>
    </w:p>
    <w:p>
      <w:pPr>
        <w:spacing w:line="580" w:lineRule="exact"/>
        <w:jc w:val="left"/>
        <w:rPr>
          <w:rFonts w:eastAsia="方正仿宋_GBK"/>
          <w:szCs w:val="24"/>
        </w:rPr>
      </w:pPr>
    </w:p>
    <w:sectPr>
      <w:headerReference r:id="rId5" w:type="first"/>
      <w:footerReference r:id="rId8" w:type="first"/>
      <w:headerReference r:id="rId3" w:type="default"/>
      <w:footerReference r:id="rId6" w:type="default"/>
      <w:headerReference r:id="rId4" w:type="even"/>
      <w:footerReference r:id="rId7" w:type="even"/>
      <w:pgSz w:w="11907" w:h="16840"/>
      <w:pgMar w:top="1531" w:right="1984" w:bottom="1587" w:left="2098" w:header="720" w:footer="1474" w:gutter="0"/>
      <w:cols w:space="720" w:num="1"/>
      <w:titlePg/>
      <w:docGrid w:type="linesAndChars" w:linePitch="62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rFonts w:eastAsia="宋体"/>
      </w:rPr>
    </w:pPr>
    <w:r>
      <w:rPr>
        <w:rStyle w:val="10"/>
        <w:rFonts w:hint="eastAsia" w:ascii="宋体" w:eastAsia="宋体"/>
        <w:sz w:val="28"/>
        <w:szCs w:val="28"/>
      </w:rPr>
      <w:t>－</w:t>
    </w:r>
    <w:r>
      <w:rPr>
        <w:rStyle w:val="10"/>
      </w:rPr>
      <w:fldChar w:fldCharType="begin"/>
    </w:r>
    <w:r>
      <w:rPr>
        <w:rStyle w:val="10"/>
        <w:rFonts w:ascii="宋体" w:eastAsia="宋体"/>
        <w:sz w:val="28"/>
        <w:szCs w:val="28"/>
      </w:rPr>
      <w:instrText xml:space="preserve">PAGE  </w:instrText>
    </w:r>
    <w:r>
      <w:rPr>
        <w:rFonts w:ascii="宋体" w:eastAsia="宋体"/>
        <w:sz w:val="28"/>
        <w:szCs w:val="28"/>
      </w:rPr>
      <w:fldChar w:fldCharType="separate"/>
    </w:r>
    <w:r>
      <w:rPr>
        <w:rStyle w:val="10"/>
        <w:rFonts w:ascii="宋体" w:eastAsia="宋体"/>
        <w:sz w:val="28"/>
        <w:szCs w:val="28"/>
      </w:rPr>
      <w:t>1</w:t>
    </w:r>
    <w:r>
      <w:rPr>
        <w:rFonts w:ascii="宋体" w:eastAsia="宋体"/>
        <w:sz w:val="28"/>
        <w:szCs w:val="28"/>
      </w:rPr>
      <w:fldChar w:fldCharType="end"/>
    </w:r>
    <w:r>
      <w:rPr>
        <w:rStyle w:val="10"/>
        <w:rFonts w:hint="eastAsia" w:asci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pPr>
    <w:r>
      <w:rPr>
        <w:rStyle w:val="10"/>
        <w:rFonts w:hint="eastAsia" w:ascii="宋体" w:eastAsia="宋体"/>
        <w:sz w:val="28"/>
        <w:szCs w:val="28"/>
      </w:rPr>
      <w:t>－</w:t>
    </w:r>
    <w:r>
      <w:rPr>
        <w:rStyle w:val="10"/>
      </w:rPr>
      <w:fldChar w:fldCharType="begin"/>
    </w:r>
    <w:r>
      <w:rPr>
        <w:rStyle w:val="10"/>
        <w:rFonts w:ascii="宋体" w:eastAsia="宋体"/>
        <w:sz w:val="28"/>
        <w:szCs w:val="28"/>
      </w:rPr>
      <w:instrText xml:space="preserve">PAGE  </w:instrText>
    </w:r>
    <w:r>
      <w:rPr>
        <w:rFonts w:ascii="宋体" w:eastAsia="宋体"/>
        <w:sz w:val="28"/>
        <w:szCs w:val="28"/>
      </w:rPr>
      <w:fldChar w:fldCharType="separate"/>
    </w:r>
    <w:r>
      <w:rPr>
        <w:rStyle w:val="10"/>
        <w:rFonts w:ascii="宋体" w:eastAsia="宋体"/>
        <w:sz w:val="28"/>
        <w:szCs w:val="28"/>
      </w:rPr>
      <w:t>2</w:t>
    </w:r>
    <w:r>
      <w:rPr>
        <w:rFonts w:ascii="宋体" w:eastAsia="宋体"/>
        <w:sz w:val="28"/>
        <w:szCs w:val="28"/>
      </w:rPr>
      <w:fldChar w:fldCharType="end"/>
    </w:r>
    <w:r>
      <w:rPr>
        <w:rStyle w:val="10"/>
        <w:rFonts w:hint="eastAsia" w:ascii="宋体" w:eastAsia="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rFonts w:eastAsia="宋体"/>
      </w:rPr>
    </w:pPr>
    <w:r>
      <w:rPr>
        <w:rStyle w:val="10"/>
        <w:rFonts w:hint="eastAsia" w:ascii="宋体" w:eastAsia="宋体"/>
        <w:sz w:val="28"/>
        <w:szCs w:val="28"/>
      </w:rPr>
      <w:t>－</w:t>
    </w:r>
    <w:r>
      <w:rPr>
        <w:rStyle w:val="10"/>
      </w:rPr>
      <w:fldChar w:fldCharType="begin"/>
    </w:r>
    <w:r>
      <w:rPr>
        <w:rStyle w:val="10"/>
        <w:rFonts w:ascii="宋体" w:eastAsia="宋体"/>
        <w:sz w:val="28"/>
        <w:szCs w:val="28"/>
      </w:rPr>
      <w:instrText xml:space="preserve">PAGE  </w:instrText>
    </w:r>
    <w:r>
      <w:rPr>
        <w:rFonts w:ascii="宋体" w:eastAsia="宋体"/>
        <w:sz w:val="28"/>
        <w:szCs w:val="28"/>
      </w:rPr>
      <w:fldChar w:fldCharType="separate"/>
    </w:r>
    <w:r>
      <w:rPr>
        <w:rStyle w:val="10"/>
        <w:rFonts w:ascii="宋体" w:eastAsia="宋体"/>
        <w:sz w:val="28"/>
        <w:szCs w:val="28"/>
      </w:rPr>
      <w:t>5</w:t>
    </w:r>
    <w:r>
      <w:rPr>
        <w:rFonts w:ascii="宋体" w:eastAsia="宋体"/>
        <w:sz w:val="28"/>
        <w:szCs w:val="28"/>
      </w:rPr>
      <w:fldChar w:fldCharType="end"/>
    </w:r>
    <w:r>
      <w:rPr>
        <w:rStyle w:val="10"/>
        <w:rFonts w:hint="eastAsia" w:ascii="宋体" w:eastAsia="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58"/>
  <w:drawingGridVerticalSpacing w:val="627"/>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hMjM1ZTE0ZDVlZGEwMjcxZDBiNjc5ZDFlNzJkMGMifQ=="/>
  </w:docVars>
  <w:rsids>
    <w:rsidRoot w:val="00D26F8D"/>
    <w:rsid w:val="0003045B"/>
    <w:rsid w:val="000474F3"/>
    <w:rsid w:val="00060D65"/>
    <w:rsid w:val="00067484"/>
    <w:rsid w:val="00070910"/>
    <w:rsid w:val="0009457A"/>
    <w:rsid w:val="000C7B26"/>
    <w:rsid w:val="000F2A81"/>
    <w:rsid w:val="001011FC"/>
    <w:rsid w:val="0010421E"/>
    <w:rsid w:val="00115950"/>
    <w:rsid w:val="001310FE"/>
    <w:rsid w:val="00142350"/>
    <w:rsid w:val="001649FB"/>
    <w:rsid w:val="00176B33"/>
    <w:rsid w:val="001A059D"/>
    <w:rsid w:val="001B4CD4"/>
    <w:rsid w:val="001C17F2"/>
    <w:rsid w:val="001C6ECF"/>
    <w:rsid w:val="00207C6A"/>
    <w:rsid w:val="00243425"/>
    <w:rsid w:val="00244E96"/>
    <w:rsid w:val="0024528F"/>
    <w:rsid w:val="0025236F"/>
    <w:rsid w:val="0025568A"/>
    <w:rsid w:val="00263254"/>
    <w:rsid w:val="002660EB"/>
    <w:rsid w:val="00277193"/>
    <w:rsid w:val="002A3798"/>
    <w:rsid w:val="002A5501"/>
    <w:rsid w:val="002C6E82"/>
    <w:rsid w:val="002E00AE"/>
    <w:rsid w:val="002F53A7"/>
    <w:rsid w:val="003177F0"/>
    <w:rsid w:val="003315F1"/>
    <w:rsid w:val="00352C08"/>
    <w:rsid w:val="00372154"/>
    <w:rsid w:val="0039280B"/>
    <w:rsid w:val="003B0E8C"/>
    <w:rsid w:val="003D1522"/>
    <w:rsid w:val="003D64CE"/>
    <w:rsid w:val="00415D0B"/>
    <w:rsid w:val="00421E5C"/>
    <w:rsid w:val="004246FE"/>
    <w:rsid w:val="00427342"/>
    <w:rsid w:val="0043267C"/>
    <w:rsid w:val="00441B47"/>
    <w:rsid w:val="0046593B"/>
    <w:rsid w:val="00486AB2"/>
    <w:rsid w:val="004C5064"/>
    <w:rsid w:val="004D3D37"/>
    <w:rsid w:val="004F6606"/>
    <w:rsid w:val="005502B5"/>
    <w:rsid w:val="005911FB"/>
    <w:rsid w:val="005B3DA5"/>
    <w:rsid w:val="005D2B69"/>
    <w:rsid w:val="005E1A0F"/>
    <w:rsid w:val="005F19D3"/>
    <w:rsid w:val="005F66FC"/>
    <w:rsid w:val="006404C4"/>
    <w:rsid w:val="00643612"/>
    <w:rsid w:val="00643CFF"/>
    <w:rsid w:val="00670533"/>
    <w:rsid w:val="006850B1"/>
    <w:rsid w:val="0069563C"/>
    <w:rsid w:val="006A0BF0"/>
    <w:rsid w:val="006E4F77"/>
    <w:rsid w:val="006F021F"/>
    <w:rsid w:val="006F53D7"/>
    <w:rsid w:val="00784201"/>
    <w:rsid w:val="007B3016"/>
    <w:rsid w:val="007F6BB8"/>
    <w:rsid w:val="0080711D"/>
    <w:rsid w:val="008100A0"/>
    <w:rsid w:val="008129ED"/>
    <w:rsid w:val="00814366"/>
    <w:rsid w:val="0082356B"/>
    <w:rsid w:val="00827163"/>
    <w:rsid w:val="00833CF5"/>
    <w:rsid w:val="008424BA"/>
    <w:rsid w:val="0086741E"/>
    <w:rsid w:val="008961B3"/>
    <w:rsid w:val="008A0EA2"/>
    <w:rsid w:val="008A4F5E"/>
    <w:rsid w:val="008E380E"/>
    <w:rsid w:val="008E52C2"/>
    <w:rsid w:val="00904BD3"/>
    <w:rsid w:val="00912DC0"/>
    <w:rsid w:val="009230A2"/>
    <w:rsid w:val="00947E45"/>
    <w:rsid w:val="00951C44"/>
    <w:rsid w:val="00957395"/>
    <w:rsid w:val="00957BD1"/>
    <w:rsid w:val="00960087"/>
    <w:rsid w:val="00975AD2"/>
    <w:rsid w:val="00983B15"/>
    <w:rsid w:val="00984A56"/>
    <w:rsid w:val="009B2A4C"/>
    <w:rsid w:val="009B6303"/>
    <w:rsid w:val="009E4153"/>
    <w:rsid w:val="009E667B"/>
    <w:rsid w:val="00A2389E"/>
    <w:rsid w:val="00A33088"/>
    <w:rsid w:val="00A547E3"/>
    <w:rsid w:val="00A70158"/>
    <w:rsid w:val="00A9115C"/>
    <w:rsid w:val="00A94293"/>
    <w:rsid w:val="00A968E6"/>
    <w:rsid w:val="00AA6B62"/>
    <w:rsid w:val="00AC2885"/>
    <w:rsid w:val="00AC504E"/>
    <w:rsid w:val="00AD4962"/>
    <w:rsid w:val="00AF1AA1"/>
    <w:rsid w:val="00AF2B21"/>
    <w:rsid w:val="00B20DC2"/>
    <w:rsid w:val="00B220C9"/>
    <w:rsid w:val="00B2571E"/>
    <w:rsid w:val="00B30C46"/>
    <w:rsid w:val="00B36C82"/>
    <w:rsid w:val="00B827B3"/>
    <w:rsid w:val="00B90766"/>
    <w:rsid w:val="00BB361B"/>
    <w:rsid w:val="00BC23AF"/>
    <w:rsid w:val="00BC4A33"/>
    <w:rsid w:val="00BC68A6"/>
    <w:rsid w:val="00BD2B60"/>
    <w:rsid w:val="00BE514B"/>
    <w:rsid w:val="00BE5FE6"/>
    <w:rsid w:val="00C009FC"/>
    <w:rsid w:val="00C01F8C"/>
    <w:rsid w:val="00C225A1"/>
    <w:rsid w:val="00C36D74"/>
    <w:rsid w:val="00C5358C"/>
    <w:rsid w:val="00C76493"/>
    <w:rsid w:val="00C95B7A"/>
    <w:rsid w:val="00C97414"/>
    <w:rsid w:val="00CA640B"/>
    <w:rsid w:val="00CB5868"/>
    <w:rsid w:val="00CC33A3"/>
    <w:rsid w:val="00CE759C"/>
    <w:rsid w:val="00CF30BC"/>
    <w:rsid w:val="00D02C5F"/>
    <w:rsid w:val="00D16501"/>
    <w:rsid w:val="00D171D4"/>
    <w:rsid w:val="00D26F8D"/>
    <w:rsid w:val="00D46F07"/>
    <w:rsid w:val="00D5339D"/>
    <w:rsid w:val="00D8076D"/>
    <w:rsid w:val="00D901BD"/>
    <w:rsid w:val="00D929BC"/>
    <w:rsid w:val="00DB25E1"/>
    <w:rsid w:val="00DB5146"/>
    <w:rsid w:val="00DB52AA"/>
    <w:rsid w:val="00DC009D"/>
    <w:rsid w:val="00DF4BB2"/>
    <w:rsid w:val="00E36D52"/>
    <w:rsid w:val="00E443A8"/>
    <w:rsid w:val="00E60678"/>
    <w:rsid w:val="00E66452"/>
    <w:rsid w:val="00E96373"/>
    <w:rsid w:val="00E9725C"/>
    <w:rsid w:val="00EB0033"/>
    <w:rsid w:val="00EE116C"/>
    <w:rsid w:val="00EE34C4"/>
    <w:rsid w:val="00EE5505"/>
    <w:rsid w:val="00EE733C"/>
    <w:rsid w:val="00EF56B5"/>
    <w:rsid w:val="00F01DA2"/>
    <w:rsid w:val="00F23560"/>
    <w:rsid w:val="00F27476"/>
    <w:rsid w:val="00F55D54"/>
    <w:rsid w:val="00F55F1C"/>
    <w:rsid w:val="00F65BD0"/>
    <w:rsid w:val="00F85263"/>
    <w:rsid w:val="00F96A25"/>
    <w:rsid w:val="00FA4D88"/>
    <w:rsid w:val="00FB3CBF"/>
    <w:rsid w:val="00FD25CE"/>
    <w:rsid w:val="00FE04E3"/>
    <w:rsid w:val="00FF631B"/>
    <w:rsid w:val="04E47B81"/>
    <w:rsid w:val="1F1109DB"/>
    <w:rsid w:val="1F643BD2"/>
    <w:rsid w:val="36E0513A"/>
    <w:rsid w:val="3DA82DB4"/>
    <w:rsid w:val="3E4704DC"/>
    <w:rsid w:val="42DF60BC"/>
    <w:rsid w:val="60684412"/>
    <w:rsid w:val="64FE4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qFormat/>
    <w:uiPriority w:val="0"/>
    <w:pPr>
      <w:ind w:left="2500" w:leftChars="2500"/>
    </w:p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after="100"/>
      <w:jc w:val="left"/>
    </w:pPr>
    <w:rPr>
      <w:rFonts w:ascii="宋体" w:hAnsi="宋体"/>
      <w:color w:val="000000"/>
      <w:kern w:val="0"/>
      <w:sz w:val="24"/>
    </w:r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font01"/>
    <w:qFormat/>
    <w:uiPriority w:val="0"/>
    <w:rPr>
      <w:rFonts w:asci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3AD525-D539-4162-87AD-8C0DA59B976D}">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218</Words>
  <Characters>1249</Characters>
  <Lines>10</Lines>
  <Paragraphs>2</Paragraphs>
  <TotalTime>7</TotalTime>
  <ScaleCrop>false</ScaleCrop>
  <LinksUpToDate>false</LinksUpToDate>
  <CharactersWithSpaces>1465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2019-05-29T09:33:00Z</dcterms:created>
  <dc:creator>张贞哲</dc:creator>
  <cp:lastModifiedBy>Owner</cp:lastModifiedBy>
  <cp:lastPrinted>2023-07-12T08:57:00Z</cp:lastPrinted>
  <dcterms:modified xsi:type="dcterms:W3CDTF">2023-10-17T02:16:06Z</dcterms:modified>
  <dc:title>无锡市梁溪区人民政府筹备组办公室</dc:title>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B295A661328F429A97953F701F21DDAC_13</vt:lpwstr>
  </property>
</Properties>
</file>