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640"/>
      </w:pPr>
    </w:p>
    <w:p>
      <w:pPr>
        <w:spacing w:before="156" w:beforeLines="50"/>
        <w:ind w:firstLine="0" w:firstLineChars="0"/>
        <w:jc w:val="center"/>
        <w:rPr>
          <w:rFonts w:eastAsia="方正小标宋_GBK"/>
          <w:bCs/>
          <w:color w:val="000000"/>
          <w:sz w:val="44"/>
          <w:szCs w:val="44"/>
        </w:rPr>
      </w:pPr>
    </w:p>
    <w:p>
      <w:pPr>
        <w:spacing w:before="156" w:beforeLines="50"/>
        <w:ind w:firstLine="0" w:firstLineChars="0"/>
        <w:jc w:val="center"/>
        <w:rPr>
          <w:rFonts w:eastAsia="方正小标宋_GBK"/>
          <w:bCs/>
          <w:color w:val="000000"/>
          <w:sz w:val="44"/>
          <w:szCs w:val="44"/>
        </w:rPr>
      </w:pPr>
    </w:p>
    <w:p>
      <w:pPr>
        <w:pStyle w:val="2"/>
        <w:rPr>
          <w:rFonts w:eastAsia="方正小标宋_GBK"/>
          <w:bCs/>
          <w:color w:val="000000"/>
          <w:sz w:val="44"/>
          <w:szCs w:val="44"/>
        </w:rPr>
      </w:pPr>
    </w:p>
    <w:p>
      <w:pPr>
        <w:pStyle w:val="2"/>
        <w:rPr>
          <w:rFonts w:eastAsia="方正小标宋_GBK"/>
          <w:bCs/>
          <w:color w:val="000000"/>
          <w:sz w:val="44"/>
          <w:szCs w:val="44"/>
        </w:rPr>
      </w:pPr>
    </w:p>
    <w:p>
      <w:pPr>
        <w:spacing w:before="156" w:beforeLines="50"/>
        <w:ind w:firstLine="0" w:firstLineChars="0"/>
        <w:jc w:val="center"/>
        <w:rPr>
          <w:rFonts w:eastAsia="方正小标宋_GBK"/>
          <w:bCs/>
          <w:color w:val="000000"/>
          <w:sz w:val="44"/>
          <w:szCs w:val="44"/>
        </w:rPr>
      </w:pPr>
    </w:p>
    <w:p>
      <w:pPr>
        <w:spacing w:before="156" w:beforeLines="50"/>
        <w:ind w:firstLine="0" w:firstLineChars="0"/>
        <w:jc w:val="center"/>
        <w:rPr>
          <w:rFonts w:eastAsia="方正小标宋_GBK"/>
          <w:bCs/>
          <w:color w:val="000000"/>
          <w:sz w:val="44"/>
          <w:szCs w:val="44"/>
        </w:rPr>
      </w:pPr>
      <w:r>
        <w:rPr>
          <w:rFonts w:hint="eastAsia" w:eastAsia="方正小标宋_GBK"/>
          <w:bCs/>
          <w:color w:val="000000"/>
          <w:sz w:val="44"/>
          <w:szCs w:val="44"/>
        </w:rPr>
        <w:t>无锡市“十四五”制造业高质量发展规划</w:t>
      </w:r>
    </w:p>
    <w:p>
      <w:pPr>
        <w:spacing w:before="156" w:beforeLines="50"/>
        <w:ind w:firstLine="0" w:firstLineChars="0"/>
        <w:jc w:val="center"/>
        <w:rPr>
          <w:rFonts w:eastAsia="方正楷体_GBK"/>
          <w:szCs w:val="32"/>
        </w:rPr>
      </w:pPr>
      <w:r>
        <w:rPr>
          <w:rFonts w:hint="eastAsia" w:eastAsia="方正楷体_GBK"/>
          <w:szCs w:val="32"/>
        </w:rPr>
        <w:t>（</w:t>
      </w:r>
      <w:r>
        <w:rPr>
          <w:rFonts w:hint="eastAsia" w:eastAsia="方正楷体_GBK"/>
          <w:szCs w:val="32"/>
          <w:lang w:eastAsia="zh-CN"/>
        </w:rPr>
        <w:t>征求意见稿</w:t>
      </w:r>
      <w:r>
        <w:rPr>
          <w:rFonts w:hint="eastAsia" w:eastAsia="方正楷体_GBK"/>
          <w:szCs w:val="32"/>
        </w:rPr>
        <w:t>）</w:t>
      </w:r>
    </w:p>
    <w:p>
      <w:pPr>
        <w:spacing w:before="312" w:beforeLines="100" w:after="156" w:afterLines="50"/>
        <w:ind w:firstLine="0" w:firstLineChars="0"/>
        <w:jc w:val="center"/>
        <w:rPr>
          <w:rFonts w:eastAsia="方正小标宋_GBK"/>
          <w:spacing w:val="-18"/>
          <w:sz w:val="44"/>
          <w:szCs w:val="44"/>
        </w:rPr>
      </w:pPr>
    </w:p>
    <w:p>
      <w:pPr>
        <w:spacing w:before="312" w:beforeLines="100" w:after="156" w:afterLines="50"/>
        <w:ind w:firstLine="0" w:firstLineChars="0"/>
        <w:jc w:val="center"/>
        <w:rPr>
          <w:rFonts w:eastAsia="方正小标宋_GBK"/>
          <w:spacing w:val="-18"/>
          <w:sz w:val="44"/>
          <w:szCs w:val="44"/>
        </w:rPr>
      </w:pPr>
    </w:p>
    <w:p>
      <w:pPr>
        <w:pStyle w:val="2"/>
        <w:ind w:firstLine="0" w:firstLineChars="0"/>
      </w:pPr>
    </w:p>
    <w:p>
      <w:pPr>
        <w:pStyle w:val="2"/>
        <w:ind w:firstLine="640"/>
      </w:pPr>
    </w:p>
    <w:p>
      <w:pPr>
        <w:spacing w:before="312" w:beforeLines="100" w:after="156" w:afterLines="50"/>
        <w:ind w:firstLine="0" w:firstLineChars="0"/>
        <w:jc w:val="center"/>
        <w:rPr>
          <w:rFonts w:eastAsia="方正小标宋_GBK"/>
          <w:spacing w:val="-18"/>
          <w:sz w:val="44"/>
          <w:szCs w:val="44"/>
        </w:rPr>
      </w:pPr>
    </w:p>
    <w:p>
      <w:pPr>
        <w:pStyle w:val="2"/>
        <w:ind w:firstLine="640"/>
      </w:pPr>
    </w:p>
    <w:p>
      <w:pPr>
        <w:pStyle w:val="2"/>
        <w:ind w:firstLine="640"/>
      </w:pPr>
    </w:p>
    <w:p>
      <w:pPr>
        <w:spacing w:before="156" w:beforeLines="50"/>
        <w:ind w:firstLine="0" w:firstLineChars="0"/>
        <w:jc w:val="center"/>
        <w:rPr>
          <w:rFonts w:hint="eastAsia" w:eastAsia="方正楷体_GBK"/>
          <w:szCs w:val="32"/>
        </w:rPr>
      </w:pPr>
    </w:p>
    <w:p>
      <w:pPr>
        <w:spacing w:before="156" w:beforeLines="50"/>
        <w:ind w:firstLine="0" w:firstLineChars="0"/>
        <w:jc w:val="center"/>
        <w:rPr>
          <w:rFonts w:hint="eastAsia" w:eastAsia="方正楷体_GBK"/>
          <w:szCs w:val="32"/>
        </w:rPr>
      </w:pPr>
    </w:p>
    <w:p>
      <w:pPr>
        <w:spacing w:before="156" w:beforeLines="50"/>
        <w:ind w:firstLine="0" w:firstLineChars="0"/>
        <w:jc w:val="center"/>
        <w:rPr>
          <w:rFonts w:eastAsia="方正楷体_GBK"/>
          <w:szCs w:val="32"/>
        </w:rPr>
      </w:pPr>
      <w:r>
        <w:rPr>
          <w:rFonts w:hint="eastAsia" w:eastAsia="方正楷体_GBK"/>
          <w:szCs w:val="32"/>
        </w:rPr>
        <w:t>2021年</w:t>
      </w:r>
      <w:r>
        <w:rPr>
          <w:rFonts w:hint="eastAsia" w:eastAsia="方正楷体_GBK"/>
          <w:szCs w:val="32"/>
          <w:lang w:val="en-US" w:eastAsia="zh-CN"/>
        </w:rPr>
        <w:t>10</w:t>
      </w:r>
      <w:r>
        <w:rPr>
          <w:rFonts w:hint="eastAsia" w:eastAsia="方正楷体_GBK"/>
          <w:szCs w:val="32"/>
        </w:rPr>
        <w:t>月</w:t>
      </w:r>
    </w:p>
    <w:p>
      <w:pPr>
        <w:spacing w:line="580" w:lineRule="exact"/>
        <w:ind w:firstLine="720"/>
        <w:outlineLvl w:val="0"/>
        <w:rPr>
          <w:rFonts w:eastAsia="方正小标宋_GBK"/>
          <w:bCs/>
          <w:color w:val="000000"/>
          <w:sz w:val="36"/>
          <w:szCs w:val="44"/>
        </w:rPr>
      </w:pPr>
    </w:p>
    <w:p>
      <w:pPr>
        <w:pStyle w:val="2"/>
        <w:ind w:firstLine="640"/>
      </w:pPr>
    </w:p>
    <w:p>
      <w:pPr>
        <w:pStyle w:val="2"/>
        <w:ind w:firstLine="640"/>
      </w:pPr>
    </w:p>
    <w:p>
      <w:pPr>
        <w:pStyle w:val="2"/>
        <w:ind w:firstLine="640"/>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start="1"/>
          <w:cols w:space="425" w:num="1"/>
          <w:docGrid w:type="lines" w:linePitch="312" w:charSpace="0"/>
        </w:sectPr>
      </w:pPr>
    </w:p>
    <w:sdt>
      <w:sdtPr>
        <w:rPr>
          <w:rFonts w:ascii="Times New Roman" w:hAnsi="Times New Roman" w:eastAsia="方正仿宋_GBK" w:cs="Times New Roman"/>
          <w:b w:val="0"/>
          <w:bCs w:val="0"/>
          <w:color w:val="auto"/>
          <w:kern w:val="2"/>
          <w:sz w:val="32"/>
          <w:szCs w:val="20"/>
          <w:lang w:val="zh-CN"/>
        </w:rPr>
        <w:id w:val="932012105"/>
        <w:docPartObj>
          <w:docPartGallery w:val="Table of Contents"/>
          <w:docPartUnique/>
        </w:docPartObj>
      </w:sdtPr>
      <w:sdtEndPr>
        <w:rPr>
          <w:rFonts w:ascii="Times New Roman" w:hAnsi="Times New Roman" w:eastAsia="方正仿宋_GBK" w:cs="Times New Roman"/>
          <w:b w:val="0"/>
          <w:bCs w:val="0"/>
          <w:color w:val="auto"/>
          <w:kern w:val="2"/>
          <w:sz w:val="32"/>
          <w:szCs w:val="20"/>
          <w:lang w:val="zh-CN"/>
        </w:rPr>
      </w:sdtEndPr>
      <w:sdtContent>
        <w:p>
          <w:pPr>
            <w:pStyle w:val="59"/>
            <w:jc w:val="center"/>
            <w:rPr>
              <w:rFonts w:ascii="方正黑体_GBK" w:eastAsia="方正黑体_GBK"/>
              <w:b w:val="0"/>
              <w:color w:val="auto"/>
              <w:sz w:val="32"/>
              <w:szCs w:val="32"/>
            </w:rPr>
          </w:pPr>
          <w:r>
            <w:rPr>
              <w:rFonts w:hint="eastAsia" w:ascii="方正黑体_GBK" w:eastAsia="方正黑体_GBK"/>
              <w:b w:val="0"/>
              <w:color w:val="auto"/>
              <w:sz w:val="32"/>
              <w:szCs w:val="32"/>
              <w:lang w:val="zh-CN"/>
            </w:rPr>
            <w:t>目  录</w:t>
          </w:r>
        </w:p>
        <w:p>
          <w:pPr>
            <w:pStyle w:val="14"/>
            <w:spacing w:before="0" w:beforeLines="0" w:after="0" w:afterLines="0"/>
            <w:jc w:val="both"/>
            <w:rPr>
              <w:rFonts w:ascii="Times New Roman" w:eastAsiaTheme="minorEastAsia"/>
              <w:sz w:val="30"/>
              <w:szCs w:val="30"/>
              <w:lang w:val="en-US"/>
            </w:rPr>
          </w:pPr>
          <w:r>
            <w:rPr>
              <w:rFonts w:ascii="Times New Roman"/>
              <w:sz w:val="30"/>
              <w:szCs w:val="30"/>
            </w:rPr>
            <w:fldChar w:fldCharType="begin"/>
          </w:r>
          <w:r>
            <w:rPr>
              <w:rFonts w:ascii="Times New Roman"/>
              <w:sz w:val="30"/>
              <w:szCs w:val="30"/>
            </w:rPr>
            <w:instrText xml:space="preserve"> TOC \o "1-3" \h \z \u </w:instrText>
          </w:r>
          <w:r>
            <w:rPr>
              <w:rFonts w:ascii="Times New Roman"/>
              <w:sz w:val="30"/>
              <w:szCs w:val="30"/>
            </w:rPr>
            <w:fldChar w:fldCharType="separate"/>
          </w:r>
          <w:r>
            <w:fldChar w:fldCharType="begin"/>
          </w:r>
          <w:r>
            <w:instrText xml:space="preserve"> HYPERLINK \l "_Toc80864430" </w:instrText>
          </w:r>
          <w:r>
            <w:fldChar w:fldCharType="separate"/>
          </w:r>
          <w:r>
            <w:rPr>
              <w:rStyle w:val="29"/>
              <w:rFonts w:ascii="Times New Roman"/>
              <w:sz w:val="30"/>
              <w:szCs w:val="30"/>
            </w:rPr>
            <w:t>前  言</w:t>
          </w:r>
          <w:r>
            <w:rPr>
              <w:rFonts w:ascii="Times New Roman"/>
              <w:sz w:val="30"/>
              <w:szCs w:val="30"/>
            </w:rPr>
            <w:tab/>
          </w:r>
          <w:r>
            <w:rPr>
              <w:rFonts w:ascii="Times New Roman"/>
              <w:sz w:val="30"/>
              <w:szCs w:val="30"/>
            </w:rPr>
            <w:fldChar w:fldCharType="begin"/>
          </w:r>
          <w:r>
            <w:rPr>
              <w:rFonts w:ascii="Times New Roman"/>
              <w:sz w:val="30"/>
              <w:szCs w:val="30"/>
            </w:rPr>
            <w:instrText xml:space="preserve"> PAGEREF _Toc80864430 \h </w:instrText>
          </w:r>
          <w:r>
            <w:rPr>
              <w:rFonts w:ascii="Times New Roman"/>
              <w:sz w:val="30"/>
              <w:szCs w:val="30"/>
            </w:rPr>
            <w:fldChar w:fldCharType="separate"/>
          </w:r>
          <w:r>
            <w:rPr>
              <w:rFonts w:ascii="Times New Roman"/>
              <w:sz w:val="30"/>
              <w:szCs w:val="30"/>
            </w:rPr>
            <w:t>1</w:t>
          </w:r>
          <w:r>
            <w:rPr>
              <w:rFonts w:ascii="Times New Roman"/>
              <w:sz w:val="30"/>
              <w:szCs w:val="30"/>
            </w:rPr>
            <w:fldChar w:fldCharType="end"/>
          </w:r>
          <w:r>
            <w:rPr>
              <w:rFonts w:ascii="Times New Roman"/>
              <w:sz w:val="30"/>
              <w:szCs w:val="30"/>
            </w:rPr>
            <w:fldChar w:fldCharType="end"/>
          </w:r>
        </w:p>
        <w:p>
          <w:pPr>
            <w:pStyle w:val="14"/>
            <w:spacing w:before="0" w:beforeLines="0" w:after="0" w:afterLines="0"/>
            <w:jc w:val="both"/>
            <w:rPr>
              <w:rFonts w:ascii="Times New Roman" w:eastAsiaTheme="minorEastAsia"/>
              <w:sz w:val="30"/>
              <w:szCs w:val="30"/>
              <w:lang w:val="en-US"/>
            </w:rPr>
          </w:pPr>
          <w:r>
            <w:fldChar w:fldCharType="begin"/>
          </w:r>
          <w:r>
            <w:instrText xml:space="preserve"> HYPERLINK \l "_Toc80864431" </w:instrText>
          </w:r>
          <w:r>
            <w:fldChar w:fldCharType="separate"/>
          </w:r>
          <w:r>
            <w:rPr>
              <w:rStyle w:val="29"/>
              <w:rFonts w:ascii="Times New Roman"/>
              <w:sz w:val="30"/>
              <w:szCs w:val="30"/>
            </w:rPr>
            <w:t>一、基础形势</w:t>
          </w:r>
          <w:r>
            <w:rPr>
              <w:rFonts w:ascii="Times New Roman"/>
              <w:sz w:val="30"/>
              <w:szCs w:val="30"/>
            </w:rPr>
            <w:tab/>
          </w:r>
          <w:r>
            <w:rPr>
              <w:rFonts w:ascii="Times New Roman"/>
              <w:sz w:val="30"/>
              <w:szCs w:val="30"/>
            </w:rPr>
            <w:fldChar w:fldCharType="begin"/>
          </w:r>
          <w:r>
            <w:rPr>
              <w:rFonts w:ascii="Times New Roman"/>
              <w:sz w:val="30"/>
              <w:szCs w:val="30"/>
            </w:rPr>
            <w:instrText xml:space="preserve"> PAGEREF _Toc80864431 \h </w:instrText>
          </w:r>
          <w:r>
            <w:rPr>
              <w:rFonts w:ascii="Times New Roman"/>
              <w:sz w:val="30"/>
              <w:szCs w:val="30"/>
            </w:rPr>
            <w:fldChar w:fldCharType="separate"/>
          </w:r>
          <w:r>
            <w:rPr>
              <w:rFonts w:ascii="Times New Roman"/>
              <w:sz w:val="30"/>
              <w:szCs w:val="30"/>
            </w:rPr>
            <w:t>2</w:t>
          </w:r>
          <w:r>
            <w:rPr>
              <w:rFonts w:ascii="Times New Roman"/>
              <w:sz w:val="30"/>
              <w:szCs w:val="30"/>
            </w:rPr>
            <w:fldChar w:fldCharType="end"/>
          </w:r>
          <w:r>
            <w:rPr>
              <w:rFonts w:ascii="Times New Roman"/>
              <w:sz w:val="30"/>
              <w:szCs w:val="30"/>
            </w:rPr>
            <w:fldChar w:fldCharType="end"/>
          </w:r>
        </w:p>
        <w:p>
          <w:pPr>
            <w:pStyle w:val="18"/>
            <w:spacing w:line="600" w:lineRule="exact"/>
            <w:rPr>
              <w:rFonts w:eastAsiaTheme="minorEastAsia"/>
              <w:sz w:val="30"/>
              <w:szCs w:val="30"/>
            </w:rPr>
          </w:pPr>
          <w:r>
            <w:fldChar w:fldCharType="begin"/>
          </w:r>
          <w:r>
            <w:instrText xml:space="preserve"> HYPERLINK \l "_Toc80864432" </w:instrText>
          </w:r>
          <w:r>
            <w:fldChar w:fldCharType="separate"/>
          </w:r>
          <w:r>
            <w:rPr>
              <w:rStyle w:val="29"/>
              <w:rFonts w:eastAsia="方正楷体_GBK"/>
              <w:sz w:val="30"/>
              <w:szCs w:val="30"/>
            </w:rPr>
            <w:t>（一）发展基础</w:t>
          </w:r>
          <w:r>
            <w:rPr>
              <w:sz w:val="30"/>
              <w:szCs w:val="30"/>
            </w:rPr>
            <w:tab/>
          </w:r>
          <w:r>
            <w:rPr>
              <w:sz w:val="30"/>
              <w:szCs w:val="30"/>
            </w:rPr>
            <w:fldChar w:fldCharType="begin"/>
          </w:r>
          <w:r>
            <w:rPr>
              <w:sz w:val="30"/>
              <w:szCs w:val="30"/>
            </w:rPr>
            <w:instrText xml:space="preserve"> PAGEREF _Toc80864432 \h </w:instrText>
          </w:r>
          <w:r>
            <w:rPr>
              <w:sz w:val="30"/>
              <w:szCs w:val="30"/>
            </w:rPr>
            <w:fldChar w:fldCharType="separate"/>
          </w:r>
          <w:r>
            <w:rPr>
              <w:sz w:val="30"/>
              <w:szCs w:val="30"/>
            </w:rPr>
            <w:t>2</w:t>
          </w:r>
          <w:r>
            <w:rPr>
              <w:sz w:val="30"/>
              <w:szCs w:val="30"/>
            </w:rPr>
            <w:fldChar w:fldCharType="end"/>
          </w:r>
          <w:r>
            <w:rPr>
              <w:sz w:val="30"/>
              <w:szCs w:val="30"/>
            </w:rPr>
            <w:fldChar w:fldCharType="end"/>
          </w:r>
        </w:p>
        <w:p>
          <w:pPr>
            <w:pStyle w:val="18"/>
            <w:spacing w:line="600" w:lineRule="exact"/>
            <w:rPr>
              <w:rFonts w:hint="eastAsia" w:eastAsia="方正仿宋_GBK"/>
              <w:sz w:val="30"/>
              <w:szCs w:val="30"/>
              <w:lang w:eastAsia="zh-CN"/>
            </w:rPr>
          </w:pPr>
          <w:r>
            <w:fldChar w:fldCharType="begin"/>
          </w:r>
          <w:r>
            <w:instrText xml:space="preserve"> HYPERLINK \l "_Toc80864433" </w:instrText>
          </w:r>
          <w:r>
            <w:fldChar w:fldCharType="separate"/>
          </w:r>
          <w:r>
            <w:rPr>
              <w:rStyle w:val="29"/>
              <w:rFonts w:eastAsia="方正楷体_GBK"/>
              <w:sz w:val="30"/>
              <w:szCs w:val="30"/>
            </w:rPr>
            <w:t>（二）发展形势</w:t>
          </w:r>
          <w:r>
            <w:rPr>
              <w:sz w:val="30"/>
              <w:szCs w:val="30"/>
            </w:rPr>
            <w:tab/>
          </w:r>
          <w:r>
            <w:rPr>
              <w:sz w:val="30"/>
              <w:szCs w:val="30"/>
            </w:rPr>
            <w:fldChar w:fldCharType="end"/>
          </w:r>
          <w:r>
            <w:rPr>
              <w:rFonts w:hint="eastAsia"/>
              <w:sz w:val="30"/>
              <w:szCs w:val="30"/>
              <w:lang w:val="en-US" w:eastAsia="zh-CN"/>
            </w:rPr>
            <w:t>5</w:t>
          </w:r>
        </w:p>
        <w:p>
          <w:pPr>
            <w:pStyle w:val="14"/>
            <w:spacing w:before="0" w:beforeLines="0" w:after="0" w:afterLines="0"/>
            <w:jc w:val="both"/>
            <w:rPr>
              <w:rFonts w:ascii="Times New Roman" w:eastAsiaTheme="minorEastAsia"/>
              <w:sz w:val="30"/>
              <w:szCs w:val="30"/>
              <w:lang w:val="en-US"/>
            </w:rPr>
          </w:pPr>
          <w:r>
            <w:fldChar w:fldCharType="begin"/>
          </w:r>
          <w:r>
            <w:instrText xml:space="preserve"> HYPERLINK \l "_Toc80864434" </w:instrText>
          </w:r>
          <w:r>
            <w:fldChar w:fldCharType="separate"/>
          </w:r>
          <w:r>
            <w:rPr>
              <w:rStyle w:val="29"/>
              <w:rFonts w:ascii="Times New Roman"/>
              <w:sz w:val="30"/>
              <w:szCs w:val="30"/>
            </w:rPr>
            <w:t>二、总体要求</w:t>
          </w:r>
          <w:r>
            <w:rPr>
              <w:rFonts w:ascii="Times New Roman"/>
              <w:sz w:val="30"/>
              <w:szCs w:val="30"/>
            </w:rPr>
            <w:tab/>
          </w:r>
          <w:r>
            <w:rPr>
              <w:rFonts w:ascii="Times New Roman"/>
              <w:sz w:val="30"/>
              <w:szCs w:val="30"/>
            </w:rPr>
            <w:fldChar w:fldCharType="begin"/>
          </w:r>
          <w:r>
            <w:rPr>
              <w:rFonts w:ascii="Times New Roman"/>
              <w:sz w:val="30"/>
              <w:szCs w:val="30"/>
            </w:rPr>
            <w:instrText xml:space="preserve"> PAGEREF _Toc80864434 \h </w:instrText>
          </w:r>
          <w:r>
            <w:rPr>
              <w:rFonts w:ascii="Times New Roman"/>
              <w:sz w:val="30"/>
              <w:szCs w:val="30"/>
            </w:rPr>
            <w:fldChar w:fldCharType="separate"/>
          </w:r>
          <w:r>
            <w:rPr>
              <w:rFonts w:ascii="Times New Roman"/>
              <w:sz w:val="30"/>
              <w:szCs w:val="30"/>
            </w:rPr>
            <w:t>8</w:t>
          </w:r>
          <w:r>
            <w:rPr>
              <w:rFonts w:ascii="Times New Roman"/>
              <w:sz w:val="30"/>
              <w:szCs w:val="30"/>
            </w:rPr>
            <w:fldChar w:fldCharType="end"/>
          </w:r>
          <w:r>
            <w:rPr>
              <w:rFonts w:ascii="Times New Roman"/>
              <w:sz w:val="30"/>
              <w:szCs w:val="30"/>
            </w:rPr>
            <w:fldChar w:fldCharType="end"/>
          </w:r>
        </w:p>
        <w:p>
          <w:pPr>
            <w:pStyle w:val="18"/>
            <w:spacing w:line="600" w:lineRule="exact"/>
            <w:rPr>
              <w:rFonts w:eastAsiaTheme="minorEastAsia"/>
              <w:sz w:val="30"/>
              <w:szCs w:val="30"/>
            </w:rPr>
          </w:pPr>
          <w:r>
            <w:fldChar w:fldCharType="begin"/>
          </w:r>
          <w:r>
            <w:instrText xml:space="preserve"> HYPERLINK \l "_Toc80864435" </w:instrText>
          </w:r>
          <w:r>
            <w:fldChar w:fldCharType="separate"/>
          </w:r>
          <w:r>
            <w:rPr>
              <w:rStyle w:val="29"/>
              <w:rFonts w:eastAsia="方正楷体_GBK"/>
              <w:sz w:val="30"/>
              <w:szCs w:val="30"/>
            </w:rPr>
            <w:t>（一）指导思想</w:t>
          </w:r>
          <w:r>
            <w:rPr>
              <w:sz w:val="30"/>
              <w:szCs w:val="30"/>
            </w:rPr>
            <w:tab/>
          </w:r>
          <w:r>
            <w:rPr>
              <w:sz w:val="30"/>
              <w:szCs w:val="30"/>
            </w:rPr>
            <w:fldChar w:fldCharType="begin"/>
          </w:r>
          <w:r>
            <w:rPr>
              <w:sz w:val="30"/>
              <w:szCs w:val="30"/>
            </w:rPr>
            <w:instrText xml:space="preserve"> PAGEREF _Toc80864435 \h </w:instrText>
          </w:r>
          <w:r>
            <w:rPr>
              <w:sz w:val="30"/>
              <w:szCs w:val="30"/>
            </w:rPr>
            <w:fldChar w:fldCharType="separate"/>
          </w:r>
          <w:r>
            <w:rPr>
              <w:sz w:val="30"/>
              <w:szCs w:val="30"/>
            </w:rPr>
            <w:t>8</w:t>
          </w:r>
          <w:r>
            <w:rPr>
              <w:sz w:val="30"/>
              <w:szCs w:val="30"/>
            </w:rPr>
            <w:fldChar w:fldCharType="end"/>
          </w:r>
          <w:r>
            <w:rPr>
              <w:sz w:val="30"/>
              <w:szCs w:val="30"/>
            </w:rPr>
            <w:fldChar w:fldCharType="end"/>
          </w:r>
        </w:p>
        <w:p>
          <w:pPr>
            <w:pStyle w:val="18"/>
            <w:spacing w:line="600" w:lineRule="exact"/>
            <w:rPr>
              <w:rFonts w:eastAsiaTheme="minorEastAsia"/>
              <w:sz w:val="30"/>
              <w:szCs w:val="30"/>
            </w:rPr>
          </w:pPr>
          <w:r>
            <w:fldChar w:fldCharType="begin"/>
          </w:r>
          <w:r>
            <w:instrText xml:space="preserve"> HYPERLINK \l "_Toc80864436" </w:instrText>
          </w:r>
          <w:r>
            <w:fldChar w:fldCharType="separate"/>
          </w:r>
          <w:r>
            <w:rPr>
              <w:rStyle w:val="29"/>
              <w:rFonts w:eastAsia="方正楷体_GBK"/>
              <w:sz w:val="30"/>
              <w:szCs w:val="30"/>
            </w:rPr>
            <w:t>（二）基本原则</w:t>
          </w:r>
          <w:r>
            <w:rPr>
              <w:sz w:val="30"/>
              <w:szCs w:val="30"/>
            </w:rPr>
            <w:tab/>
          </w:r>
          <w:r>
            <w:rPr>
              <w:sz w:val="30"/>
              <w:szCs w:val="30"/>
            </w:rPr>
            <w:fldChar w:fldCharType="begin"/>
          </w:r>
          <w:r>
            <w:rPr>
              <w:sz w:val="30"/>
              <w:szCs w:val="30"/>
            </w:rPr>
            <w:instrText xml:space="preserve"> PAGEREF _Toc80864436 \h </w:instrText>
          </w:r>
          <w:r>
            <w:rPr>
              <w:sz w:val="30"/>
              <w:szCs w:val="30"/>
            </w:rPr>
            <w:fldChar w:fldCharType="separate"/>
          </w:r>
          <w:r>
            <w:rPr>
              <w:sz w:val="30"/>
              <w:szCs w:val="30"/>
            </w:rPr>
            <w:t>8</w:t>
          </w:r>
          <w:r>
            <w:rPr>
              <w:sz w:val="30"/>
              <w:szCs w:val="30"/>
            </w:rPr>
            <w:fldChar w:fldCharType="end"/>
          </w:r>
          <w:r>
            <w:rPr>
              <w:sz w:val="30"/>
              <w:szCs w:val="30"/>
            </w:rPr>
            <w:fldChar w:fldCharType="end"/>
          </w:r>
        </w:p>
        <w:p>
          <w:pPr>
            <w:pStyle w:val="18"/>
            <w:spacing w:line="600" w:lineRule="exact"/>
            <w:rPr>
              <w:rFonts w:eastAsiaTheme="minorEastAsia"/>
              <w:sz w:val="30"/>
              <w:szCs w:val="30"/>
            </w:rPr>
          </w:pPr>
          <w:r>
            <w:fldChar w:fldCharType="begin"/>
          </w:r>
          <w:r>
            <w:instrText xml:space="preserve"> HYPERLINK \l "_Toc80864437" </w:instrText>
          </w:r>
          <w:r>
            <w:fldChar w:fldCharType="separate"/>
          </w:r>
          <w:r>
            <w:rPr>
              <w:rStyle w:val="29"/>
              <w:rFonts w:eastAsia="方正楷体_GBK"/>
              <w:sz w:val="30"/>
              <w:szCs w:val="30"/>
            </w:rPr>
            <w:t>（三）战略定位</w:t>
          </w:r>
          <w:r>
            <w:rPr>
              <w:sz w:val="30"/>
              <w:szCs w:val="30"/>
            </w:rPr>
            <w:tab/>
          </w:r>
          <w:r>
            <w:rPr>
              <w:sz w:val="30"/>
              <w:szCs w:val="30"/>
            </w:rPr>
            <w:fldChar w:fldCharType="begin"/>
          </w:r>
          <w:r>
            <w:rPr>
              <w:sz w:val="30"/>
              <w:szCs w:val="30"/>
            </w:rPr>
            <w:instrText xml:space="preserve"> PAGEREF _Toc80864437 \h </w:instrText>
          </w:r>
          <w:r>
            <w:rPr>
              <w:sz w:val="30"/>
              <w:szCs w:val="30"/>
            </w:rPr>
            <w:fldChar w:fldCharType="separate"/>
          </w:r>
          <w:r>
            <w:rPr>
              <w:sz w:val="30"/>
              <w:szCs w:val="30"/>
            </w:rPr>
            <w:t>9</w:t>
          </w:r>
          <w:r>
            <w:rPr>
              <w:sz w:val="30"/>
              <w:szCs w:val="30"/>
            </w:rPr>
            <w:fldChar w:fldCharType="end"/>
          </w:r>
          <w:r>
            <w:rPr>
              <w:sz w:val="30"/>
              <w:szCs w:val="30"/>
            </w:rPr>
            <w:fldChar w:fldCharType="end"/>
          </w:r>
        </w:p>
        <w:p>
          <w:pPr>
            <w:pStyle w:val="18"/>
            <w:spacing w:line="600" w:lineRule="exact"/>
            <w:rPr>
              <w:rFonts w:eastAsiaTheme="minorEastAsia"/>
              <w:sz w:val="30"/>
              <w:szCs w:val="30"/>
            </w:rPr>
          </w:pPr>
          <w:r>
            <w:fldChar w:fldCharType="begin"/>
          </w:r>
          <w:r>
            <w:instrText xml:space="preserve"> HYPERLINK \l "_Toc80864438" </w:instrText>
          </w:r>
          <w:r>
            <w:fldChar w:fldCharType="separate"/>
          </w:r>
          <w:r>
            <w:rPr>
              <w:rStyle w:val="29"/>
              <w:rFonts w:eastAsia="方正楷体_GBK"/>
              <w:sz w:val="30"/>
              <w:szCs w:val="30"/>
            </w:rPr>
            <w:t>（四）主要目标</w:t>
          </w:r>
          <w:r>
            <w:rPr>
              <w:sz w:val="30"/>
              <w:szCs w:val="30"/>
            </w:rPr>
            <w:tab/>
          </w:r>
          <w:r>
            <w:rPr>
              <w:sz w:val="30"/>
              <w:szCs w:val="30"/>
            </w:rPr>
            <w:fldChar w:fldCharType="begin"/>
          </w:r>
          <w:r>
            <w:rPr>
              <w:sz w:val="30"/>
              <w:szCs w:val="30"/>
            </w:rPr>
            <w:instrText xml:space="preserve"> PAGEREF _Toc80864438 \h </w:instrText>
          </w:r>
          <w:r>
            <w:rPr>
              <w:sz w:val="30"/>
              <w:szCs w:val="30"/>
            </w:rPr>
            <w:fldChar w:fldCharType="separate"/>
          </w:r>
          <w:r>
            <w:rPr>
              <w:sz w:val="30"/>
              <w:szCs w:val="30"/>
            </w:rPr>
            <w:t>10</w:t>
          </w:r>
          <w:r>
            <w:rPr>
              <w:sz w:val="30"/>
              <w:szCs w:val="30"/>
            </w:rPr>
            <w:fldChar w:fldCharType="end"/>
          </w:r>
          <w:r>
            <w:rPr>
              <w:sz w:val="30"/>
              <w:szCs w:val="30"/>
            </w:rPr>
            <w:fldChar w:fldCharType="end"/>
          </w:r>
        </w:p>
        <w:p>
          <w:pPr>
            <w:pStyle w:val="14"/>
            <w:spacing w:before="0" w:beforeLines="0" w:after="0" w:afterLines="0"/>
            <w:jc w:val="both"/>
            <w:rPr>
              <w:rFonts w:ascii="Times New Roman" w:eastAsiaTheme="minorEastAsia"/>
              <w:sz w:val="30"/>
              <w:szCs w:val="30"/>
              <w:lang w:val="en-US"/>
            </w:rPr>
          </w:pPr>
          <w:r>
            <w:fldChar w:fldCharType="begin"/>
          </w:r>
          <w:r>
            <w:instrText xml:space="preserve"> HYPERLINK \l "_Toc80864439" </w:instrText>
          </w:r>
          <w:r>
            <w:fldChar w:fldCharType="separate"/>
          </w:r>
          <w:r>
            <w:rPr>
              <w:rStyle w:val="29"/>
              <w:rFonts w:ascii="Times New Roman"/>
              <w:sz w:val="30"/>
              <w:szCs w:val="30"/>
            </w:rPr>
            <w:t>三、发展重点</w:t>
          </w:r>
          <w:r>
            <w:rPr>
              <w:rFonts w:ascii="Times New Roman"/>
              <w:sz w:val="30"/>
              <w:szCs w:val="30"/>
            </w:rPr>
            <w:tab/>
          </w:r>
          <w:r>
            <w:rPr>
              <w:rFonts w:ascii="Times New Roman"/>
              <w:sz w:val="30"/>
              <w:szCs w:val="30"/>
            </w:rPr>
            <w:fldChar w:fldCharType="begin"/>
          </w:r>
          <w:r>
            <w:rPr>
              <w:rFonts w:ascii="Times New Roman"/>
              <w:sz w:val="30"/>
              <w:szCs w:val="30"/>
            </w:rPr>
            <w:instrText xml:space="preserve"> PAGEREF _Toc80864439 \h </w:instrText>
          </w:r>
          <w:r>
            <w:rPr>
              <w:rFonts w:ascii="Times New Roman"/>
              <w:sz w:val="30"/>
              <w:szCs w:val="30"/>
            </w:rPr>
            <w:fldChar w:fldCharType="separate"/>
          </w:r>
          <w:r>
            <w:rPr>
              <w:rFonts w:ascii="Times New Roman"/>
              <w:sz w:val="30"/>
              <w:szCs w:val="30"/>
            </w:rPr>
            <w:t>12</w:t>
          </w:r>
          <w:r>
            <w:rPr>
              <w:rFonts w:ascii="Times New Roman"/>
              <w:sz w:val="30"/>
              <w:szCs w:val="30"/>
            </w:rPr>
            <w:fldChar w:fldCharType="end"/>
          </w:r>
          <w:r>
            <w:rPr>
              <w:rFonts w:ascii="Times New Roman"/>
              <w:sz w:val="30"/>
              <w:szCs w:val="30"/>
            </w:rPr>
            <w:fldChar w:fldCharType="end"/>
          </w:r>
        </w:p>
        <w:p>
          <w:pPr>
            <w:pStyle w:val="18"/>
            <w:spacing w:line="600" w:lineRule="exact"/>
            <w:rPr>
              <w:rFonts w:eastAsiaTheme="minorEastAsia"/>
              <w:sz w:val="30"/>
              <w:szCs w:val="30"/>
            </w:rPr>
          </w:pPr>
          <w:r>
            <w:fldChar w:fldCharType="begin"/>
          </w:r>
          <w:r>
            <w:instrText xml:space="preserve"> HYPERLINK \l "_Toc80864440" </w:instrText>
          </w:r>
          <w:r>
            <w:fldChar w:fldCharType="separate"/>
          </w:r>
          <w:r>
            <w:rPr>
              <w:rStyle w:val="29"/>
              <w:rFonts w:eastAsia="方正楷体_GBK"/>
              <w:sz w:val="30"/>
              <w:szCs w:val="30"/>
            </w:rPr>
            <w:t>（一）全力打造地标产业</w:t>
          </w:r>
          <w:r>
            <w:rPr>
              <w:sz w:val="30"/>
              <w:szCs w:val="30"/>
            </w:rPr>
            <w:tab/>
          </w:r>
          <w:r>
            <w:rPr>
              <w:sz w:val="30"/>
              <w:szCs w:val="30"/>
            </w:rPr>
            <w:fldChar w:fldCharType="begin"/>
          </w:r>
          <w:r>
            <w:rPr>
              <w:sz w:val="30"/>
              <w:szCs w:val="30"/>
            </w:rPr>
            <w:instrText xml:space="preserve"> PAGEREF _Toc80864440 \h </w:instrText>
          </w:r>
          <w:r>
            <w:rPr>
              <w:sz w:val="30"/>
              <w:szCs w:val="30"/>
            </w:rPr>
            <w:fldChar w:fldCharType="separate"/>
          </w:r>
          <w:r>
            <w:rPr>
              <w:sz w:val="30"/>
              <w:szCs w:val="30"/>
            </w:rPr>
            <w:t>12</w:t>
          </w:r>
          <w:r>
            <w:rPr>
              <w:sz w:val="30"/>
              <w:szCs w:val="30"/>
            </w:rPr>
            <w:fldChar w:fldCharType="end"/>
          </w:r>
          <w:r>
            <w:rPr>
              <w:sz w:val="30"/>
              <w:szCs w:val="30"/>
            </w:rPr>
            <w:fldChar w:fldCharType="end"/>
          </w:r>
        </w:p>
        <w:p>
          <w:pPr>
            <w:pStyle w:val="18"/>
            <w:spacing w:line="600" w:lineRule="exact"/>
            <w:rPr>
              <w:rFonts w:hint="eastAsia" w:eastAsia="方正仿宋_GBK"/>
              <w:sz w:val="30"/>
              <w:szCs w:val="30"/>
              <w:lang w:val="en-US" w:eastAsia="zh-CN"/>
            </w:rPr>
          </w:pPr>
          <w:r>
            <w:fldChar w:fldCharType="begin"/>
          </w:r>
          <w:r>
            <w:instrText xml:space="preserve"> HYPERLINK \l "_Toc80864446" </w:instrText>
          </w:r>
          <w:r>
            <w:fldChar w:fldCharType="separate"/>
          </w:r>
          <w:r>
            <w:rPr>
              <w:rStyle w:val="29"/>
              <w:rFonts w:eastAsia="方正楷体_GBK"/>
              <w:sz w:val="30"/>
              <w:szCs w:val="30"/>
            </w:rPr>
            <w:t>（二）做大做强重点产业</w:t>
          </w:r>
          <w:r>
            <w:rPr>
              <w:sz w:val="30"/>
              <w:szCs w:val="30"/>
            </w:rPr>
            <w:tab/>
          </w:r>
          <w:r>
            <w:rPr>
              <w:rFonts w:hint="eastAsia"/>
              <w:sz w:val="30"/>
              <w:szCs w:val="30"/>
              <w:lang w:val="en-US" w:eastAsia="zh-CN"/>
            </w:rPr>
            <w:t>1</w:t>
          </w:r>
          <w:r>
            <w:rPr>
              <w:sz w:val="30"/>
              <w:szCs w:val="30"/>
            </w:rPr>
            <w:fldChar w:fldCharType="end"/>
          </w:r>
          <w:r>
            <w:rPr>
              <w:rFonts w:hint="eastAsia"/>
              <w:sz w:val="30"/>
              <w:szCs w:val="30"/>
              <w:lang w:val="en-US" w:eastAsia="zh-CN"/>
            </w:rPr>
            <w:t>4</w:t>
          </w:r>
        </w:p>
        <w:p>
          <w:pPr>
            <w:pStyle w:val="18"/>
            <w:spacing w:line="600" w:lineRule="exact"/>
            <w:rPr>
              <w:rFonts w:hint="eastAsia" w:eastAsia="方正仿宋_GBK"/>
              <w:sz w:val="30"/>
              <w:szCs w:val="30"/>
              <w:lang w:val="en-US" w:eastAsia="zh-CN"/>
            </w:rPr>
          </w:pPr>
          <w:r>
            <w:fldChar w:fldCharType="begin"/>
          </w:r>
          <w:r>
            <w:instrText xml:space="preserve"> HYPERLINK \l "_Toc80864454" </w:instrText>
          </w:r>
          <w:r>
            <w:fldChar w:fldCharType="separate"/>
          </w:r>
          <w:r>
            <w:rPr>
              <w:rStyle w:val="29"/>
              <w:rFonts w:eastAsia="方正楷体_GBK"/>
              <w:sz w:val="30"/>
              <w:szCs w:val="30"/>
            </w:rPr>
            <w:t>（三）加快布局未来产业</w:t>
          </w:r>
          <w:r>
            <w:rPr>
              <w:sz w:val="30"/>
              <w:szCs w:val="30"/>
            </w:rPr>
            <w:tab/>
          </w:r>
          <w:r>
            <w:rPr>
              <w:rFonts w:hint="eastAsia"/>
              <w:sz w:val="30"/>
              <w:szCs w:val="30"/>
              <w:lang w:val="en-US" w:eastAsia="zh-CN"/>
            </w:rPr>
            <w:t>1</w:t>
          </w:r>
          <w:r>
            <w:rPr>
              <w:sz w:val="30"/>
              <w:szCs w:val="30"/>
            </w:rPr>
            <w:fldChar w:fldCharType="end"/>
          </w:r>
          <w:r>
            <w:rPr>
              <w:rFonts w:hint="eastAsia"/>
              <w:sz w:val="30"/>
              <w:szCs w:val="30"/>
              <w:lang w:val="en-US" w:eastAsia="zh-CN"/>
            </w:rPr>
            <w:t>7</w:t>
          </w:r>
        </w:p>
        <w:p>
          <w:pPr>
            <w:pStyle w:val="14"/>
            <w:spacing w:before="0" w:beforeLines="0" w:after="0" w:afterLines="0"/>
            <w:jc w:val="both"/>
            <w:rPr>
              <w:rFonts w:hint="eastAsia" w:ascii="Times New Roman" w:eastAsia="方正黑体_GBK"/>
              <w:sz w:val="30"/>
              <w:szCs w:val="30"/>
              <w:lang w:val="en-US" w:eastAsia="zh-CN"/>
            </w:rPr>
          </w:pPr>
          <w:r>
            <w:fldChar w:fldCharType="begin"/>
          </w:r>
          <w:r>
            <w:instrText xml:space="preserve"> HYPERLINK \l "_Toc80864462" </w:instrText>
          </w:r>
          <w:r>
            <w:fldChar w:fldCharType="separate"/>
          </w:r>
          <w:r>
            <w:rPr>
              <w:rStyle w:val="29"/>
              <w:rFonts w:ascii="Times New Roman"/>
              <w:kern w:val="0"/>
              <w:sz w:val="30"/>
              <w:szCs w:val="30"/>
            </w:rPr>
            <w:t>四、主要任务</w:t>
          </w:r>
          <w:r>
            <w:rPr>
              <w:rFonts w:ascii="Times New Roman"/>
              <w:sz w:val="30"/>
              <w:szCs w:val="30"/>
            </w:rPr>
            <w:tab/>
          </w:r>
          <w:r>
            <w:rPr>
              <w:rFonts w:hint="eastAsia" w:ascii="Times New Roman"/>
              <w:sz w:val="30"/>
              <w:szCs w:val="30"/>
              <w:lang w:val="en-US" w:eastAsia="zh-CN"/>
            </w:rPr>
            <w:t>1</w:t>
          </w:r>
          <w:r>
            <w:rPr>
              <w:rFonts w:ascii="Times New Roman"/>
              <w:sz w:val="30"/>
              <w:szCs w:val="30"/>
            </w:rPr>
            <w:fldChar w:fldCharType="end"/>
          </w:r>
          <w:r>
            <w:rPr>
              <w:rFonts w:hint="eastAsia" w:ascii="Times New Roman"/>
              <w:sz w:val="30"/>
              <w:szCs w:val="30"/>
              <w:lang w:val="en-US" w:eastAsia="zh-CN"/>
            </w:rPr>
            <w:t>7</w:t>
          </w:r>
        </w:p>
        <w:p>
          <w:pPr>
            <w:pStyle w:val="18"/>
            <w:spacing w:line="600" w:lineRule="exact"/>
            <w:rPr>
              <w:rFonts w:hint="eastAsia" w:eastAsia="方正仿宋_GBK"/>
              <w:sz w:val="30"/>
              <w:szCs w:val="30"/>
              <w:lang w:val="en-US" w:eastAsia="zh-CN"/>
            </w:rPr>
          </w:pPr>
          <w:r>
            <w:fldChar w:fldCharType="begin"/>
          </w:r>
          <w:r>
            <w:instrText xml:space="preserve"> HYPERLINK \l "_Toc80864463" </w:instrText>
          </w:r>
          <w:r>
            <w:fldChar w:fldCharType="separate"/>
          </w:r>
          <w:r>
            <w:rPr>
              <w:rStyle w:val="29"/>
              <w:rFonts w:eastAsia="方正楷体_GBK"/>
              <w:kern w:val="0"/>
              <w:sz w:val="30"/>
              <w:szCs w:val="30"/>
            </w:rPr>
            <w:t>（一）</w:t>
          </w:r>
          <w:r>
            <w:rPr>
              <w:rStyle w:val="29"/>
              <w:rFonts w:eastAsia="方正楷体_GBK"/>
              <w:spacing w:val="-20"/>
              <w:kern w:val="0"/>
              <w:sz w:val="30"/>
              <w:szCs w:val="30"/>
            </w:rPr>
            <w:t>实施先进制造业集群培育工程，提升产业链现代化水平</w:t>
          </w:r>
          <w:r>
            <w:rPr>
              <w:sz w:val="30"/>
              <w:szCs w:val="30"/>
            </w:rPr>
            <w:tab/>
          </w:r>
          <w:r>
            <w:rPr>
              <w:rFonts w:hint="eastAsia"/>
              <w:sz w:val="30"/>
              <w:szCs w:val="30"/>
              <w:lang w:val="en-US" w:eastAsia="zh-CN"/>
            </w:rPr>
            <w:t>1</w:t>
          </w:r>
          <w:r>
            <w:rPr>
              <w:sz w:val="30"/>
              <w:szCs w:val="30"/>
            </w:rPr>
            <w:fldChar w:fldCharType="end"/>
          </w:r>
          <w:r>
            <w:rPr>
              <w:rFonts w:hint="eastAsia"/>
              <w:sz w:val="30"/>
              <w:szCs w:val="30"/>
              <w:lang w:val="en-US" w:eastAsia="zh-CN"/>
            </w:rPr>
            <w:t>8</w:t>
          </w:r>
        </w:p>
        <w:p>
          <w:pPr>
            <w:pStyle w:val="18"/>
            <w:spacing w:line="600" w:lineRule="exact"/>
            <w:rPr>
              <w:rFonts w:hint="eastAsia" w:eastAsia="方正仿宋_GBK"/>
              <w:sz w:val="30"/>
              <w:szCs w:val="30"/>
              <w:lang w:val="en-US" w:eastAsia="zh-CN"/>
            </w:rPr>
          </w:pPr>
          <w:r>
            <w:fldChar w:fldCharType="begin"/>
          </w:r>
          <w:r>
            <w:instrText xml:space="preserve"> HYPERLINK \l "_Toc80864464" </w:instrText>
          </w:r>
          <w:r>
            <w:fldChar w:fldCharType="separate"/>
          </w:r>
          <w:r>
            <w:rPr>
              <w:rStyle w:val="29"/>
              <w:rFonts w:eastAsia="方正楷体_GBK"/>
              <w:sz w:val="30"/>
              <w:szCs w:val="30"/>
            </w:rPr>
            <w:t>（二）</w:t>
          </w:r>
          <w:r>
            <w:rPr>
              <w:rStyle w:val="29"/>
              <w:rFonts w:eastAsia="方正楷体_GBK"/>
              <w:spacing w:val="-23"/>
              <w:sz w:val="30"/>
              <w:szCs w:val="30"/>
            </w:rPr>
            <w:t>实施自主创新体系构建工程，提升产业创新能力</w:t>
          </w:r>
          <w:r>
            <w:rPr>
              <w:sz w:val="30"/>
              <w:szCs w:val="30"/>
            </w:rPr>
            <w:tab/>
          </w:r>
          <w:r>
            <w:rPr>
              <w:rFonts w:hint="eastAsia"/>
              <w:sz w:val="30"/>
              <w:szCs w:val="30"/>
              <w:lang w:val="en-US" w:eastAsia="zh-CN"/>
            </w:rPr>
            <w:t>1</w:t>
          </w:r>
          <w:r>
            <w:rPr>
              <w:sz w:val="30"/>
              <w:szCs w:val="30"/>
            </w:rPr>
            <w:fldChar w:fldCharType="end"/>
          </w:r>
          <w:r>
            <w:rPr>
              <w:rFonts w:hint="eastAsia"/>
              <w:sz w:val="30"/>
              <w:szCs w:val="30"/>
              <w:lang w:val="en-US" w:eastAsia="zh-CN"/>
            </w:rPr>
            <w:t>9</w:t>
          </w:r>
        </w:p>
        <w:p>
          <w:pPr>
            <w:pStyle w:val="18"/>
            <w:spacing w:line="600" w:lineRule="exact"/>
            <w:rPr>
              <w:rFonts w:hint="eastAsia" w:eastAsia="方正仿宋_GBK"/>
              <w:sz w:val="30"/>
              <w:szCs w:val="30"/>
              <w:lang w:val="en-US" w:eastAsia="zh-CN"/>
            </w:rPr>
          </w:pPr>
          <w:r>
            <w:fldChar w:fldCharType="begin"/>
          </w:r>
          <w:r>
            <w:instrText xml:space="preserve"> HYPERLINK \l "_Toc80864465" </w:instrText>
          </w:r>
          <w:r>
            <w:fldChar w:fldCharType="separate"/>
          </w:r>
          <w:r>
            <w:rPr>
              <w:rStyle w:val="29"/>
              <w:rFonts w:eastAsia="方正楷体_GBK"/>
              <w:sz w:val="30"/>
              <w:szCs w:val="30"/>
            </w:rPr>
            <w:t>（三）</w:t>
          </w:r>
          <w:r>
            <w:rPr>
              <w:rStyle w:val="29"/>
              <w:rFonts w:eastAsia="方正楷体_GBK"/>
              <w:spacing w:val="-8"/>
              <w:sz w:val="30"/>
              <w:szCs w:val="30"/>
            </w:rPr>
            <w:t>实施产业基础再造工程，推进产业基础高级化</w:t>
          </w:r>
          <w:r>
            <w:rPr>
              <w:sz w:val="30"/>
              <w:szCs w:val="30"/>
            </w:rPr>
            <w:tab/>
          </w:r>
          <w:r>
            <w:rPr>
              <w:rFonts w:hint="eastAsia"/>
              <w:sz w:val="30"/>
              <w:szCs w:val="30"/>
              <w:lang w:val="en-US" w:eastAsia="zh-CN"/>
            </w:rPr>
            <w:t>2</w:t>
          </w:r>
          <w:r>
            <w:rPr>
              <w:sz w:val="30"/>
              <w:szCs w:val="30"/>
            </w:rPr>
            <w:fldChar w:fldCharType="end"/>
          </w:r>
          <w:r>
            <w:rPr>
              <w:rFonts w:hint="eastAsia"/>
              <w:sz w:val="30"/>
              <w:szCs w:val="30"/>
              <w:lang w:val="en-US" w:eastAsia="zh-CN"/>
            </w:rPr>
            <w:t>1</w:t>
          </w:r>
        </w:p>
        <w:p>
          <w:pPr>
            <w:pStyle w:val="18"/>
            <w:spacing w:line="600" w:lineRule="exact"/>
            <w:rPr>
              <w:rFonts w:hint="eastAsia" w:eastAsia="方正仿宋_GBK"/>
              <w:sz w:val="30"/>
              <w:szCs w:val="30"/>
              <w:lang w:val="en-US" w:eastAsia="zh-CN"/>
            </w:rPr>
          </w:pPr>
          <w:r>
            <w:fldChar w:fldCharType="begin"/>
          </w:r>
          <w:r>
            <w:instrText xml:space="preserve"> HYPERLINK \l "_Toc80864466" </w:instrText>
          </w:r>
          <w:r>
            <w:fldChar w:fldCharType="separate"/>
          </w:r>
          <w:r>
            <w:rPr>
              <w:rStyle w:val="29"/>
              <w:rFonts w:eastAsia="方正楷体_GBK"/>
              <w:sz w:val="30"/>
              <w:szCs w:val="30"/>
            </w:rPr>
            <w:t>（四）</w:t>
          </w:r>
          <w:r>
            <w:rPr>
              <w:rStyle w:val="29"/>
              <w:rFonts w:eastAsia="方正楷体_GBK"/>
              <w:spacing w:val="-8"/>
              <w:sz w:val="30"/>
              <w:szCs w:val="30"/>
            </w:rPr>
            <w:t>实施融合发展工程，促进产业数字化服务化转型</w:t>
          </w:r>
          <w:r>
            <w:rPr>
              <w:sz w:val="30"/>
              <w:szCs w:val="30"/>
            </w:rPr>
            <w:tab/>
          </w:r>
          <w:r>
            <w:rPr>
              <w:rFonts w:hint="eastAsia"/>
              <w:sz w:val="30"/>
              <w:szCs w:val="30"/>
              <w:lang w:val="en-US" w:eastAsia="zh-CN"/>
            </w:rPr>
            <w:t>2</w:t>
          </w:r>
          <w:r>
            <w:rPr>
              <w:sz w:val="30"/>
              <w:szCs w:val="30"/>
            </w:rPr>
            <w:fldChar w:fldCharType="end"/>
          </w:r>
          <w:r>
            <w:rPr>
              <w:rFonts w:hint="eastAsia"/>
              <w:sz w:val="30"/>
              <w:szCs w:val="30"/>
              <w:lang w:val="en-US" w:eastAsia="zh-CN"/>
            </w:rPr>
            <w:t>2</w:t>
          </w:r>
        </w:p>
        <w:p>
          <w:pPr>
            <w:pStyle w:val="18"/>
            <w:spacing w:line="600" w:lineRule="exact"/>
            <w:rPr>
              <w:rFonts w:hint="eastAsia" w:eastAsia="方正仿宋_GBK"/>
              <w:sz w:val="30"/>
              <w:szCs w:val="30"/>
              <w:lang w:val="en-US" w:eastAsia="zh-CN"/>
            </w:rPr>
          </w:pPr>
          <w:r>
            <w:fldChar w:fldCharType="begin"/>
          </w:r>
          <w:r>
            <w:instrText xml:space="preserve"> HYPERLINK \l "_Toc80864467" </w:instrText>
          </w:r>
          <w:r>
            <w:fldChar w:fldCharType="separate"/>
          </w:r>
          <w:r>
            <w:rPr>
              <w:rStyle w:val="29"/>
              <w:rFonts w:eastAsia="方正楷体_GBK"/>
              <w:sz w:val="30"/>
              <w:szCs w:val="30"/>
            </w:rPr>
            <w:t>（五）</w:t>
          </w:r>
          <w:r>
            <w:rPr>
              <w:rStyle w:val="29"/>
              <w:rFonts w:eastAsia="方正楷体_GBK"/>
              <w:spacing w:val="-8"/>
              <w:sz w:val="30"/>
              <w:szCs w:val="30"/>
            </w:rPr>
            <w:t>实施企业梯次培育工程，壮大制造业主体力量</w:t>
          </w:r>
          <w:r>
            <w:rPr>
              <w:sz w:val="30"/>
              <w:szCs w:val="30"/>
            </w:rPr>
            <w:tab/>
          </w:r>
          <w:r>
            <w:rPr>
              <w:rFonts w:hint="eastAsia"/>
              <w:sz w:val="30"/>
              <w:szCs w:val="30"/>
              <w:lang w:val="en-US" w:eastAsia="zh-CN"/>
            </w:rPr>
            <w:t>2</w:t>
          </w:r>
          <w:r>
            <w:rPr>
              <w:sz w:val="30"/>
              <w:szCs w:val="30"/>
            </w:rPr>
            <w:fldChar w:fldCharType="end"/>
          </w:r>
          <w:r>
            <w:rPr>
              <w:rFonts w:hint="eastAsia"/>
              <w:sz w:val="30"/>
              <w:szCs w:val="30"/>
              <w:lang w:val="en-US" w:eastAsia="zh-CN"/>
            </w:rPr>
            <w:t>4</w:t>
          </w:r>
        </w:p>
        <w:p>
          <w:pPr>
            <w:pStyle w:val="18"/>
            <w:spacing w:line="600" w:lineRule="exact"/>
            <w:rPr>
              <w:rFonts w:hint="eastAsia" w:eastAsia="方正仿宋_GBK"/>
              <w:sz w:val="30"/>
              <w:szCs w:val="30"/>
              <w:lang w:val="en-US" w:eastAsia="zh-CN"/>
            </w:rPr>
          </w:pPr>
          <w:r>
            <w:fldChar w:fldCharType="begin"/>
          </w:r>
          <w:r>
            <w:instrText xml:space="preserve"> HYPERLINK \l "_Toc80864468" </w:instrText>
          </w:r>
          <w:r>
            <w:fldChar w:fldCharType="separate"/>
          </w:r>
          <w:r>
            <w:rPr>
              <w:rStyle w:val="29"/>
              <w:rFonts w:eastAsia="方正楷体_GBK"/>
              <w:kern w:val="0"/>
              <w:sz w:val="30"/>
              <w:szCs w:val="30"/>
            </w:rPr>
            <w:t>（六）</w:t>
          </w:r>
          <w:r>
            <w:rPr>
              <w:rStyle w:val="29"/>
              <w:rFonts w:eastAsia="方正楷体_GBK"/>
              <w:spacing w:val="-14"/>
              <w:kern w:val="0"/>
              <w:sz w:val="30"/>
              <w:szCs w:val="30"/>
            </w:rPr>
            <w:t>实施绿色安全集约发展工程，推动制造业可持续发展</w:t>
          </w:r>
          <w:r>
            <w:rPr>
              <w:sz w:val="30"/>
              <w:szCs w:val="30"/>
            </w:rPr>
            <w:tab/>
          </w:r>
          <w:r>
            <w:rPr>
              <w:rFonts w:hint="eastAsia"/>
              <w:sz w:val="30"/>
              <w:szCs w:val="30"/>
              <w:lang w:val="en-US" w:eastAsia="zh-CN"/>
            </w:rPr>
            <w:t>2</w:t>
          </w:r>
          <w:r>
            <w:rPr>
              <w:sz w:val="30"/>
              <w:szCs w:val="30"/>
            </w:rPr>
            <w:fldChar w:fldCharType="end"/>
          </w:r>
          <w:r>
            <w:rPr>
              <w:rFonts w:hint="eastAsia"/>
              <w:sz w:val="30"/>
              <w:szCs w:val="30"/>
              <w:lang w:val="en-US" w:eastAsia="zh-CN"/>
            </w:rPr>
            <w:t>6</w:t>
          </w:r>
        </w:p>
        <w:p>
          <w:pPr>
            <w:pStyle w:val="18"/>
            <w:spacing w:line="600" w:lineRule="exact"/>
            <w:rPr>
              <w:rFonts w:hint="eastAsia" w:eastAsia="方正仿宋_GBK"/>
              <w:sz w:val="30"/>
              <w:szCs w:val="30"/>
              <w:lang w:val="en-US" w:eastAsia="zh-CN"/>
            </w:rPr>
          </w:pPr>
          <w:r>
            <w:fldChar w:fldCharType="begin"/>
          </w:r>
          <w:r>
            <w:instrText xml:space="preserve"> HYPERLINK \l "_Toc80864469" </w:instrText>
          </w:r>
          <w:r>
            <w:fldChar w:fldCharType="separate"/>
          </w:r>
          <w:r>
            <w:rPr>
              <w:rStyle w:val="29"/>
              <w:rFonts w:eastAsia="方正楷体_GBK"/>
              <w:kern w:val="0"/>
              <w:sz w:val="30"/>
              <w:szCs w:val="30"/>
            </w:rPr>
            <w:t>（七）</w:t>
          </w:r>
          <w:r>
            <w:rPr>
              <w:rStyle w:val="29"/>
              <w:rFonts w:eastAsia="方正楷体_GBK"/>
              <w:spacing w:val="-14"/>
              <w:kern w:val="0"/>
              <w:sz w:val="30"/>
              <w:szCs w:val="30"/>
            </w:rPr>
            <w:t>实施内外开放合作工程，加快融入双循环新发展格局</w:t>
          </w:r>
          <w:r>
            <w:rPr>
              <w:sz w:val="30"/>
              <w:szCs w:val="30"/>
            </w:rPr>
            <w:tab/>
          </w:r>
          <w:r>
            <w:rPr>
              <w:rFonts w:hint="eastAsia"/>
              <w:sz w:val="30"/>
              <w:szCs w:val="30"/>
              <w:lang w:val="en-US" w:eastAsia="zh-CN"/>
            </w:rPr>
            <w:t>2</w:t>
          </w:r>
          <w:r>
            <w:rPr>
              <w:sz w:val="30"/>
              <w:szCs w:val="30"/>
            </w:rPr>
            <w:fldChar w:fldCharType="end"/>
          </w:r>
          <w:r>
            <w:rPr>
              <w:rFonts w:hint="eastAsia"/>
              <w:sz w:val="30"/>
              <w:szCs w:val="30"/>
              <w:lang w:val="en-US" w:eastAsia="zh-CN"/>
            </w:rPr>
            <w:t>7</w:t>
          </w:r>
        </w:p>
        <w:p>
          <w:pPr>
            <w:pStyle w:val="14"/>
            <w:spacing w:before="0" w:beforeLines="0" w:after="0" w:afterLines="0"/>
            <w:jc w:val="both"/>
            <w:rPr>
              <w:rFonts w:hint="eastAsia" w:ascii="Times New Roman" w:eastAsia="方正黑体_GBK"/>
              <w:sz w:val="30"/>
              <w:szCs w:val="30"/>
              <w:lang w:val="en-US" w:eastAsia="zh-CN"/>
            </w:rPr>
          </w:pPr>
          <w:r>
            <w:fldChar w:fldCharType="begin"/>
          </w:r>
          <w:r>
            <w:instrText xml:space="preserve"> HYPERLINK \l "_Toc80864470" </w:instrText>
          </w:r>
          <w:r>
            <w:fldChar w:fldCharType="separate"/>
          </w:r>
          <w:r>
            <w:rPr>
              <w:rStyle w:val="29"/>
              <w:rFonts w:ascii="Times New Roman"/>
              <w:sz w:val="30"/>
              <w:szCs w:val="30"/>
            </w:rPr>
            <w:t>五、保障措施</w:t>
          </w:r>
          <w:r>
            <w:rPr>
              <w:rFonts w:ascii="Times New Roman"/>
              <w:sz w:val="30"/>
              <w:szCs w:val="30"/>
            </w:rPr>
            <w:tab/>
          </w:r>
          <w:r>
            <w:rPr>
              <w:rFonts w:hint="eastAsia" w:ascii="Times New Roman"/>
              <w:sz w:val="30"/>
              <w:szCs w:val="30"/>
              <w:lang w:val="en-US" w:eastAsia="zh-CN"/>
            </w:rPr>
            <w:t>2</w:t>
          </w:r>
          <w:r>
            <w:rPr>
              <w:rFonts w:ascii="Times New Roman"/>
              <w:sz w:val="30"/>
              <w:szCs w:val="30"/>
            </w:rPr>
            <w:fldChar w:fldCharType="end"/>
          </w:r>
          <w:r>
            <w:rPr>
              <w:rFonts w:hint="eastAsia" w:ascii="Times New Roman"/>
              <w:sz w:val="30"/>
              <w:szCs w:val="30"/>
              <w:lang w:val="en-US" w:eastAsia="zh-CN"/>
            </w:rPr>
            <w:t>9</w:t>
          </w:r>
        </w:p>
        <w:p>
          <w:pPr>
            <w:pStyle w:val="18"/>
            <w:spacing w:line="600" w:lineRule="exact"/>
            <w:ind w:left="0" w:leftChars="0" w:firstLine="640" w:firstLineChars="200"/>
            <w:rPr>
              <w:rFonts w:hint="eastAsia" w:eastAsia="方正仿宋_GBK"/>
              <w:sz w:val="30"/>
              <w:szCs w:val="30"/>
              <w:lang w:val="en-US" w:eastAsia="zh-CN"/>
            </w:rPr>
          </w:pPr>
          <w:r>
            <w:fldChar w:fldCharType="begin"/>
          </w:r>
          <w:r>
            <w:instrText xml:space="preserve"> HYPERLINK \l "_Toc80864471" </w:instrText>
          </w:r>
          <w:r>
            <w:fldChar w:fldCharType="separate"/>
          </w:r>
          <w:r>
            <w:rPr>
              <w:rStyle w:val="29"/>
              <w:rFonts w:eastAsia="方正楷体_GBK"/>
              <w:sz w:val="30"/>
              <w:szCs w:val="30"/>
            </w:rPr>
            <w:t>（一）加强组织领导</w:t>
          </w:r>
          <w:r>
            <w:rPr>
              <w:sz w:val="30"/>
              <w:szCs w:val="30"/>
            </w:rPr>
            <w:tab/>
          </w:r>
          <w:r>
            <w:rPr>
              <w:rFonts w:hint="eastAsia"/>
              <w:sz w:val="30"/>
              <w:szCs w:val="30"/>
              <w:lang w:val="en-US" w:eastAsia="zh-CN"/>
            </w:rPr>
            <w:t>2</w:t>
          </w:r>
          <w:r>
            <w:rPr>
              <w:sz w:val="30"/>
              <w:szCs w:val="30"/>
            </w:rPr>
            <w:fldChar w:fldCharType="end"/>
          </w:r>
          <w:r>
            <w:rPr>
              <w:rFonts w:hint="eastAsia"/>
              <w:sz w:val="30"/>
              <w:szCs w:val="30"/>
              <w:lang w:val="en-US" w:eastAsia="zh-CN"/>
            </w:rPr>
            <w:t>9</w:t>
          </w:r>
        </w:p>
        <w:p>
          <w:pPr>
            <w:pStyle w:val="9"/>
            <w:tabs>
              <w:tab w:val="right" w:leader="dot" w:pos="8296"/>
            </w:tabs>
            <w:spacing w:line="600" w:lineRule="exact"/>
            <w:ind w:left="0" w:leftChars="0" w:firstLine="640"/>
            <w:rPr>
              <w:rFonts w:hint="eastAsia" w:eastAsia="方正仿宋_GBK"/>
              <w:sz w:val="30"/>
              <w:szCs w:val="30"/>
              <w:lang w:val="en-US" w:eastAsia="zh-CN"/>
            </w:rPr>
          </w:pPr>
          <w:r>
            <w:fldChar w:fldCharType="begin"/>
          </w:r>
          <w:r>
            <w:instrText xml:space="preserve"> HYPERLINK \l "_Toc80864472" </w:instrText>
          </w:r>
          <w:r>
            <w:fldChar w:fldCharType="separate"/>
          </w:r>
          <w:r>
            <w:rPr>
              <w:rStyle w:val="29"/>
              <w:rFonts w:eastAsia="方正楷体_GBK"/>
              <w:sz w:val="30"/>
              <w:szCs w:val="30"/>
            </w:rPr>
            <w:t>（二）强化要素保障</w:t>
          </w:r>
          <w:r>
            <w:rPr>
              <w:sz w:val="30"/>
              <w:szCs w:val="30"/>
            </w:rPr>
            <w:tab/>
          </w:r>
          <w:r>
            <w:rPr>
              <w:rFonts w:hint="eastAsia"/>
              <w:sz w:val="30"/>
              <w:szCs w:val="30"/>
              <w:lang w:val="en-US" w:eastAsia="zh-CN"/>
            </w:rPr>
            <w:t>3</w:t>
          </w:r>
          <w:r>
            <w:rPr>
              <w:sz w:val="30"/>
              <w:szCs w:val="30"/>
            </w:rPr>
            <w:fldChar w:fldCharType="end"/>
          </w:r>
          <w:r>
            <w:rPr>
              <w:rFonts w:hint="eastAsia"/>
              <w:sz w:val="30"/>
              <w:szCs w:val="30"/>
              <w:lang w:val="en-US" w:eastAsia="zh-CN"/>
            </w:rPr>
            <w:t>0</w:t>
          </w:r>
        </w:p>
        <w:p>
          <w:pPr>
            <w:pStyle w:val="9"/>
            <w:tabs>
              <w:tab w:val="right" w:leader="dot" w:pos="8296"/>
            </w:tabs>
            <w:spacing w:line="600" w:lineRule="exact"/>
            <w:ind w:left="0" w:leftChars="0" w:firstLine="640"/>
            <w:rPr>
              <w:rFonts w:hint="eastAsia" w:eastAsia="方正仿宋_GBK"/>
              <w:sz w:val="30"/>
              <w:szCs w:val="30"/>
              <w:lang w:val="en-US" w:eastAsia="zh-CN"/>
            </w:rPr>
          </w:pPr>
          <w:r>
            <w:fldChar w:fldCharType="begin"/>
          </w:r>
          <w:r>
            <w:instrText xml:space="preserve"> HYPERLINK \l "_Toc80864473" </w:instrText>
          </w:r>
          <w:r>
            <w:fldChar w:fldCharType="separate"/>
          </w:r>
          <w:r>
            <w:rPr>
              <w:rStyle w:val="29"/>
              <w:rFonts w:eastAsia="方正楷体_GBK"/>
              <w:sz w:val="30"/>
              <w:szCs w:val="30"/>
            </w:rPr>
            <w:t>（三）创新政策供给</w:t>
          </w:r>
          <w:r>
            <w:rPr>
              <w:sz w:val="30"/>
              <w:szCs w:val="30"/>
            </w:rPr>
            <w:tab/>
          </w:r>
          <w:r>
            <w:rPr>
              <w:rFonts w:hint="eastAsia"/>
              <w:sz w:val="30"/>
              <w:szCs w:val="30"/>
              <w:lang w:val="en-US" w:eastAsia="zh-CN"/>
            </w:rPr>
            <w:t>3</w:t>
          </w:r>
          <w:r>
            <w:rPr>
              <w:sz w:val="30"/>
              <w:szCs w:val="30"/>
            </w:rPr>
            <w:fldChar w:fldCharType="end"/>
          </w:r>
          <w:r>
            <w:rPr>
              <w:rFonts w:hint="eastAsia"/>
              <w:sz w:val="30"/>
              <w:szCs w:val="30"/>
              <w:lang w:val="en-US" w:eastAsia="zh-CN"/>
            </w:rPr>
            <w:t>0</w:t>
          </w:r>
        </w:p>
        <w:p>
          <w:pPr>
            <w:pStyle w:val="9"/>
            <w:tabs>
              <w:tab w:val="right" w:leader="dot" w:pos="8296"/>
            </w:tabs>
            <w:spacing w:line="600" w:lineRule="exact"/>
            <w:ind w:left="0" w:leftChars="0" w:firstLine="640"/>
            <w:rPr>
              <w:rFonts w:hint="eastAsia" w:eastAsia="方正仿宋_GBK"/>
              <w:sz w:val="30"/>
              <w:szCs w:val="30"/>
              <w:lang w:val="en-US" w:eastAsia="zh-CN"/>
            </w:rPr>
          </w:pPr>
          <w:r>
            <w:fldChar w:fldCharType="begin"/>
          </w:r>
          <w:r>
            <w:instrText xml:space="preserve"> HYPERLINK \l "_Toc80864474" </w:instrText>
          </w:r>
          <w:r>
            <w:fldChar w:fldCharType="separate"/>
          </w:r>
          <w:r>
            <w:rPr>
              <w:rStyle w:val="29"/>
              <w:rFonts w:eastAsia="方正楷体_GBK"/>
              <w:sz w:val="30"/>
              <w:szCs w:val="30"/>
            </w:rPr>
            <w:t>（四）优化营商环境</w:t>
          </w:r>
          <w:r>
            <w:rPr>
              <w:sz w:val="30"/>
              <w:szCs w:val="30"/>
            </w:rPr>
            <w:tab/>
          </w:r>
          <w:r>
            <w:rPr>
              <w:rFonts w:hint="eastAsia"/>
              <w:sz w:val="30"/>
              <w:szCs w:val="30"/>
              <w:lang w:val="en-US" w:eastAsia="zh-CN"/>
            </w:rPr>
            <w:t>3</w:t>
          </w:r>
          <w:r>
            <w:rPr>
              <w:sz w:val="30"/>
              <w:szCs w:val="30"/>
            </w:rPr>
            <w:fldChar w:fldCharType="end"/>
          </w:r>
          <w:r>
            <w:rPr>
              <w:rFonts w:hint="eastAsia"/>
              <w:sz w:val="30"/>
              <w:szCs w:val="30"/>
              <w:lang w:val="en-US" w:eastAsia="zh-CN"/>
            </w:rPr>
            <w:t>0</w:t>
          </w:r>
        </w:p>
        <w:p>
          <w:pPr>
            <w:pStyle w:val="14"/>
            <w:spacing w:before="0" w:beforeLines="0" w:after="0" w:afterLines="0"/>
            <w:jc w:val="both"/>
            <w:rPr>
              <w:rFonts w:hint="eastAsia" w:ascii="Times New Roman" w:eastAsia="方正黑体_GBK"/>
              <w:sz w:val="30"/>
              <w:szCs w:val="30"/>
              <w:lang w:val="en-US" w:eastAsia="zh-CN"/>
            </w:rPr>
          </w:pPr>
          <w:r>
            <w:fldChar w:fldCharType="begin"/>
          </w:r>
          <w:r>
            <w:instrText xml:space="preserve"> HYPERLINK \l "_Toc80864475" </w:instrText>
          </w:r>
          <w:r>
            <w:fldChar w:fldCharType="separate"/>
          </w:r>
          <w:r>
            <w:rPr>
              <w:rStyle w:val="29"/>
              <w:rFonts w:ascii="Times New Roman"/>
              <w:bCs/>
              <w:kern w:val="0"/>
              <w:sz w:val="30"/>
              <w:szCs w:val="30"/>
            </w:rPr>
            <w:t>六、环境影响评价</w:t>
          </w:r>
          <w:r>
            <w:rPr>
              <w:rFonts w:ascii="Times New Roman"/>
              <w:sz w:val="30"/>
              <w:szCs w:val="30"/>
            </w:rPr>
            <w:tab/>
          </w:r>
          <w:r>
            <w:rPr>
              <w:rFonts w:hint="eastAsia" w:ascii="Times New Roman"/>
              <w:sz w:val="30"/>
              <w:szCs w:val="30"/>
              <w:lang w:val="en-US" w:eastAsia="zh-CN"/>
            </w:rPr>
            <w:t>3</w:t>
          </w:r>
          <w:r>
            <w:rPr>
              <w:rFonts w:ascii="Times New Roman"/>
              <w:sz w:val="30"/>
              <w:szCs w:val="30"/>
            </w:rPr>
            <w:fldChar w:fldCharType="end"/>
          </w:r>
          <w:r>
            <w:rPr>
              <w:rFonts w:hint="eastAsia" w:ascii="Times New Roman"/>
              <w:sz w:val="30"/>
              <w:szCs w:val="30"/>
              <w:lang w:val="en-US" w:eastAsia="zh-CN"/>
            </w:rPr>
            <w:t>1</w:t>
          </w:r>
        </w:p>
        <w:p>
          <w:pPr>
            <w:pStyle w:val="18"/>
            <w:spacing w:line="600" w:lineRule="exact"/>
            <w:rPr>
              <w:rFonts w:hint="eastAsia" w:eastAsia="方正仿宋_GBK"/>
              <w:sz w:val="30"/>
              <w:szCs w:val="30"/>
              <w:lang w:val="en-US" w:eastAsia="zh-CN"/>
            </w:rPr>
          </w:pPr>
          <w:r>
            <w:fldChar w:fldCharType="begin"/>
          </w:r>
          <w:r>
            <w:instrText xml:space="preserve"> HYPERLINK \l "_Toc80864476" </w:instrText>
          </w:r>
          <w:r>
            <w:fldChar w:fldCharType="separate"/>
          </w:r>
          <w:r>
            <w:rPr>
              <w:rStyle w:val="29"/>
              <w:rFonts w:eastAsia="方正楷体_GBK"/>
              <w:sz w:val="30"/>
              <w:szCs w:val="30"/>
            </w:rPr>
            <w:t>（一）《规划》实施的环境影响分析</w:t>
          </w:r>
          <w:r>
            <w:rPr>
              <w:sz w:val="30"/>
              <w:szCs w:val="30"/>
            </w:rPr>
            <w:tab/>
          </w:r>
          <w:r>
            <w:rPr>
              <w:rFonts w:hint="eastAsia"/>
              <w:sz w:val="30"/>
              <w:szCs w:val="30"/>
              <w:lang w:val="en-US" w:eastAsia="zh-CN"/>
            </w:rPr>
            <w:t>3</w:t>
          </w:r>
          <w:r>
            <w:rPr>
              <w:sz w:val="30"/>
              <w:szCs w:val="30"/>
            </w:rPr>
            <w:fldChar w:fldCharType="end"/>
          </w:r>
          <w:r>
            <w:rPr>
              <w:rFonts w:hint="eastAsia"/>
              <w:sz w:val="30"/>
              <w:szCs w:val="30"/>
              <w:lang w:val="en-US" w:eastAsia="zh-CN"/>
            </w:rPr>
            <w:t>1</w:t>
          </w:r>
        </w:p>
        <w:p>
          <w:pPr>
            <w:pStyle w:val="18"/>
            <w:spacing w:line="600" w:lineRule="exact"/>
            <w:rPr>
              <w:rFonts w:hint="eastAsia" w:eastAsia="方正仿宋_GBK"/>
              <w:sz w:val="30"/>
              <w:szCs w:val="30"/>
              <w:lang w:val="en-US" w:eastAsia="zh-CN"/>
            </w:rPr>
          </w:pPr>
          <w:r>
            <w:fldChar w:fldCharType="begin"/>
          </w:r>
          <w:r>
            <w:instrText xml:space="preserve"> HYPERLINK \l "_Toc80864477" </w:instrText>
          </w:r>
          <w:r>
            <w:fldChar w:fldCharType="separate"/>
          </w:r>
          <w:r>
            <w:rPr>
              <w:rStyle w:val="29"/>
              <w:rFonts w:eastAsia="方正楷体_GBK"/>
              <w:kern w:val="0"/>
              <w:sz w:val="30"/>
              <w:szCs w:val="30"/>
            </w:rPr>
            <w:t>（二）</w:t>
          </w:r>
          <w:r>
            <w:rPr>
              <w:rStyle w:val="29"/>
              <w:rFonts w:eastAsia="方正楷体_GBK"/>
              <w:sz w:val="30"/>
              <w:szCs w:val="30"/>
            </w:rPr>
            <w:t>与相关规划的协调性分析</w:t>
          </w:r>
          <w:r>
            <w:rPr>
              <w:sz w:val="30"/>
              <w:szCs w:val="30"/>
            </w:rPr>
            <w:tab/>
          </w:r>
          <w:r>
            <w:rPr>
              <w:rFonts w:hint="eastAsia"/>
              <w:sz w:val="30"/>
              <w:szCs w:val="30"/>
              <w:lang w:val="en-US" w:eastAsia="zh-CN"/>
            </w:rPr>
            <w:t>3</w:t>
          </w:r>
          <w:r>
            <w:rPr>
              <w:sz w:val="30"/>
              <w:szCs w:val="30"/>
            </w:rPr>
            <w:fldChar w:fldCharType="end"/>
          </w:r>
          <w:r>
            <w:rPr>
              <w:rFonts w:hint="eastAsia"/>
              <w:sz w:val="30"/>
              <w:szCs w:val="30"/>
              <w:lang w:val="en-US" w:eastAsia="zh-CN"/>
            </w:rPr>
            <w:t>4</w:t>
          </w:r>
        </w:p>
        <w:p>
          <w:pPr>
            <w:pStyle w:val="18"/>
            <w:spacing w:line="600" w:lineRule="exact"/>
            <w:rPr>
              <w:rFonts w:hint="eastAsia" w:eastAsia="方正仿宋_GBK"/>
              <w:sz w:val="30"/>
              <w:szCs w:val="30"/>
              <w:lang w:val="en-US" w:eastAsia="zh-CN"/>
            </w:rPr>
          </w:pPr>
          <w:r>
            <w:fldChar w:fldCharType="begin"/>
          </w:r>
          <w:r>
            <w:instrText xml:space="preserve"> HYPERLINK \l "_Toc80864478" </w:instrText>
          </w:r>
          <w:r>
            <w:fldChar w:fldCharType="separate"/>
          </w:r>
          <w:r>
            <w:rPr>
              <w:rStyle w:val="29"/>
              <w:rFonts w:eastAsia="方正楷体_GBK"/>
              <w:kern w:val="0"/>
              <w:sz w:val="30"/>
              <w:szCs w:val="30"/>
            </w:rPr>
            <w:t>（三）环境保护对策与减缓影响的措施</w:t>
          </w:r>
          <w:r>
            <w:rPr>
              <w:sz w:val="30"/>
              <w:szCs w:val="30"/>
            </w:rPr>
            <w:tab/>
          </w:r>
          <w:r>
            <w:rPr>
              <w:rFonts w:hint="eastAsia"/>
              <w:sz w:val="30"/>
              <w:szCs w:val="30"/>
              <w:lang w:val="en-US" w:eastAsia="zh-CN"/>
            </w:rPr>
            <w:t>3</w:t>
          </w:r>
          <w:r>
            <w:rPr>
              <w:sz w:val="30"/>
              <w:szCs w:val="30"/>
            </w:rPr>
            <w:fldChar w:fldCharType="end"/>
          </w:r>
          <w:r>
            <w:rPr>
              <w:rFonts w:hint="eastAsia"/>
              <w:sz w:val="30"/>
              <w:szCs w:val="30"/>
              <w:lang w:val="en-US" w:eastAsia="zh-CN"/>
            </w:rPr>
            <w:t>4</w:t>
          </w:r>
          <w:bookmarkStart w:id="91" w:name="_GoBack"/>
          <w:bookmarkEnd w:id="91"/>
        </w:p>
        <w:p>
          <w:pPr>
            <w:spacing w:line="620" w:lineRule="exact"/>
            <w:ind w:firstLine="0" w:firstLineChars="0"/>
          </w:pPr>
          <w:r>
            <w:rPr>
              <w:b/>
              <w:bCs/>
              <w:sz w:val="30"/>
              <w:szCs w:val="30"/>
              <w:lang w:val="zh-CN"/>
            </w:rPr>
            <w:fldChar w:fldCharType="end"/>
          </w:r>
        </w:p>
      </w:sdtContent>
    </w:sdt>
    <w:p>
      <w:pPr>
        <w:pStyle w:val="2"/>
        <w:ind w:firstLine="640"/>
      </w:pPr>
    </w:p>
    <w:p>
      <w:pPr>
        <w:pStyle w:val="2"/>
        <w:ind w:firstLine="640"/>
      </w:pPr>
    </w:p>
    <w:p>
      <w:pPr>
        <w:pStyle w:val="2"/>
        <w:ind w:firstLine="640"/>
      </w:pPr>
    </w:p>
    <w:p>
      <w:pPr>
        <w:pStyle w:val="2"/>
        <w:ind w:firstLine="640"/>
      </w:pPr>
    </w:p>
    <w:p>
      <w:pPr>
        <w:pStyle w:val="2"/>
        <w:ind w:firstLine="640"/>
      </w:pPr>
    </w:p>
    <w:p>
      <w:pPr>
        <w:pStyle w:val="2"/>
        <w:ind w:firstLine="640"/>
      </w:pPr>
    </w:p>
    <w:p>
      <w:pPr>
        <w:spacing w:line="580" w:lineRule="exact"/>
        <w:ind w:firstLine="720"/>
        <w:outlineLvl w:val="0"/>
        <w:rPr>
          <w:rFonts w:eastAsia="方正小标宋_GBK"/>
          <w:bCs/>
          <w:color w:val="000000"/>
          <w:sz w:val="36"/>
          <w:szCs w:val="44"/>
        </w:rPr>
        <w:sectPr>
          <w:footerReference r:id="rId11" w:type="default"/>
          <w:pgSz w:w="11906" w:h="16838"/>
          <w:pgMar w:top="1440" w:right="1800" w:bottom="1440" w:left="1800" w:header="851" w:footer="992" w:gutter="0"/>
          <w:pgNumType w:fmt="upperRoman" w:start="1"/>
          <w:cols w:space="425" w:num="1"/>
          <w:docGrid w:type="lines" w:linePitch="312" w:charSpace="0"/>
        </w:sectPr>
      </w:pPr>
    </w:p>
    <w:p>
      <w:pPr>
        <w:spacing w:before="156" w:beforeLines="50" w:after="156" w:afterLines="50" w:line="600" w:lineRule="exact"/>
        <w:ind w:firstLine="0" w:firstLineChars="0"/>
        <w:jc w:val="center"/>
        <w:rPr>
          <w:rFonts w:eastAsia="方正小标宋_GBK"/>
          <w:sz w:val="36"/>
          <w:szCs w:val="32"/>
        </w:rPr>
      </w:pPr>
      <w:bookmarkStart w:id="0" w:name="_Toc61818177"/>
      <w:bookmarkStart w:id="1" w:name="_Toc68683128"/>
    </w:p>
    <w:p>
      <w:pPr>
        <w:spacing w:before="156" w:beforeLines="50" w:after="156" w:afterLines="50"/>
        <w:ind w:firstLine="0" w:firstLineChars="0"/>
        <w:jc w:val="center"/>
        <w:outlineLvl w:val="0"/>
        <w:rPr>
          <w:rFonts w:eastAsia="方正小标宋_GBK"/>
          <w:sz w:val="36"/>
          <w:szCs w:val="32"/>
        </w:rPr>
      </w:pPr>
      <w:bookmarkStart w:id="2" w:name="_Toc80864430"/>
      <w:r>
        <w:rPr>
          <w:rFonts w:hint="eastAsia" w:eastAsia="方正小标宋_GBK"/>
          <w:sz w:val="36"/>
          <w:szCs w:val="32"/>
        </w:rPr>
        <w:t>前  言</w:t>
      </w:r>
      <w:bookmarkEnd w:id="2"/>
    </w:p>
    <w:p>
      <w:pPr>
        <w:ind w:firstLine="640"/>
        <w:rPr>
          <w:rFonts w:cs="方正仿宋_GBK"/>
          <w:kern w:val="0"/>
        </w:rPr>
      </w:pPr>
      <w:r>
        <w:rPr>
          <w:rFonts w:hint="eastAsia" w:cs="方正仿宋_GBK"/>
          <w:bCs/>
          <w:kern w:val="0"/>
          <w:szCs w:val="32"/>
        </w:rPr>
        <w:t>制造业是国民经济的主体，是立国之本、强国之基、兴国之器。党的十九届五中全会提出，坚持把发展经济着力点放在实体经济上，坚定不移建设制造强国。“十四五”时期是我国全面建成小康社会和开启基本实现社会主义现代化新征程的重要交汇期，</w:t>
      </w:r>
      <w:r>
        <w:rPr>
          <w:rFonts w:hint="eastAsia" w:ascii="方正仿宋_GBK" w:hAnsi="方正仿宋_GBK" w:cs="方正仿宋_GBK"/>
          <w:bCs/>
          <w:kern w:val="0"/>
          <w:szCs w:val="32"/>
        </w:rPr>
        <w:t>也是无锡</w:t>
      </w:r>
      <w:r>
        <w:rPr>
          <w:rFonts w:hint="eastAsia" w:ascii="方正仿宋_GBK" w:hAnsi="方正仿宋_GBK" w:cs="方正仿宋_GBK"/>
          <w:color w:val="000000"/>
          <w:kern w:val="0"/>
          <w:szCs w:val="32"/>
          <w:lang w:bidi="ar"/>
        </w:rPr>
        <w:t>勇做全省“争当表率、争做示范、走在前列”排头兵、勇创全省“强富美高”建设示范区、</w:t>
      </w:r>
      <w:r>
        <w:rPr>
          <w:rFonts w:cs="方正仿宋_GBK"/>
          <w:color w:val="000000"/>
          <w:kern w:val="0"/>
          <w:szCs w:val="32"/>
          <w:lang w:bidi="ar"/>
        </w:rPr>
        <w:t>勇当全省高质量发展领跑者</w:t>
      </w:r>
      <w:r>
        <w:rPr>
          <w:rFonts w:hint="eastAsia" w:cs="方正仿宋_GBK"/>
          <w:color w:val="000000"/>
          <w:kern w:val="0"/>
          <w:szCs w:val="32"/>
          <w:lang w:bidi="ar"/>
        </w:rPr>
        <w:t>的关键发展期，无锡制造业发展面临新阶段、新使命、新要求，必须按照市委市政府决策部署，坚定不移实施创新驱动核心战略和产业强市主导战略，打好产业基础高级化、产业链现代化攻坚战，加快建设自主可控的现代产业体系，打造产业发展高地。为推动“十四五”全市制造业高质量发展迈上新台阶，</w:t>
      </w:r>
      <w:r>
        <w:rPr>
          <w:rFonts w:hint="eastAsia" w:cs="方正仿宋_GBK"/>
          <w:kern w:val="0"/>
          <w:szCs w:val="32"/>
        </w:rPr>
        <w:t>根据</w:t>
      </w:r>
      <w:r>
        <w:rPr>
          <w:rFonts w:hint="eastAsia" w:cs="方正仿宋_GBK"/>
          <w:bCs/>
          <w:kern w:val="0"/>
          <w:szCs w:val="32"/>
        </w:rPr>
        <w:t>《江苏省制造业高质量发展“十四五”规划》《中共无锡市委关于制定无锡市国民经济和社会发展第十四个五年规划和二〇三五年远景目标的建议》</w:t>
      </w:r>
      <w:r>
        <w:rPr>
          <w:rFonts w:hint="eastAsia" w:cs="方正仿宋_GBK"/>
          <w:kern w:val="0"/>
        </w:rPr>
        <w:t>《</w:t>
      </w:r>
      <w:r>
        <w:rPr>
          <w:rFonts w:hint="eastAsia" w:cs="方正仿宋_GBK"/>
          <w:bCs/>
          <w:kern w:val="0"/>
          <w:szCs w:val="32"/>
        </w:rPr>
        <w:t>无锡市国民经济和社会发展第十四个五年规划和二〇三五年远景目标纲要</w:t>
      </w:r>
      <w:r>
        <w:rPr>
          <w:rFonts w:hint="eastAsia" w:cs="方正仿宋_GBK"/>
          <w:kern w:val="0"/>
        </w:rPr>
        <w:t>》</w:t>
      </w:r>
      <w:r>
        <w:rPr>
          <w:rFonts w:hint="eastAsia" w:cs="方正仿宋_GBK"/>
          <w:kern w:val="0"/>
          <w:szCs w:val="32"/>
        </w:rPr>
        <w:t>，结合无锡制造业发展实际，编制本规划。</w:t>
      </w:r>
    </w:p>
    <w:p>
      <w:pPr>
        <w:spacing w:line="540" w:lineRule="exact"/>
        <w:ind w:firstLine="620"/>
        <w:outlineLvl w:val="0"/>
        <w:rPr>
          <w:rFonts w:cs="方正仿宋_GBK"/>
          <w:color w:val="000000"/>
          <w:kern w:val="0"/>
          <w:sz w:val="31"/>
          <w:szCs w:val="31"/>
          <w:lang w:bidi="ar"/>
        </w:rPr>
      </w:pPr>
    </w:p>
    <w:p>
      <w:pPr>
        <w:pStyle w:val="2"/>
        <w:ind w:firstLine="640"/>
        <w:rPr>
          <w:lang w:bidi="ar"/>
        </w:rPr>
      </w:pPr>
      <w:r>
        <w:rPr>
          <w:lang w:bidi="ar"/>
        </w:rPr>
        <w:br w:type="page"/>
      </w:r>
    </w:p>
    <w:p>
      <w:pPr>
        <w:ind w:firstLine="640"/>
        <w:outlineLvl w:val="0"/>
        <w:rPr>
          <w:rFonts w:eastAsia="方正黑体_GBK"/>
          <w:szCs w:val="32"/>
        </w:rPr>
      </w:pPr>
      <w:bookmarkStart w:id="3" w:name="_Toc80864431"/>
      <w:r>
        <w:rPr>
          <w:rFonts w:hint="eastAsia" w:eastAsia="方正黑体_GBK"/>
          <w:szCs w:val="32"/>
        </w:rPr>
        <w:t>一、基础形势</w:t>
      </w:r>
      <w:bookmarkEnd w:id="3"/>
    </w:p>
    <w:p>
      <w:pPr>
        <w:ind w:firstLine="640"/>
        <w:outlineLvl w:val="1"/>
        <w:rPr>
          <w:rFonts w:eastAsia="方正楷体_GBK"/>
        </w:rPr>
      </w:pPr>
      <w:bookmarkStart w:id="4" w:name="_Toc80864432"/>
      <w:r>
        <w:rPr>
          <w:rFonts w:hint="eastAsia" w:eastAsia="方正楷体_GBK"/>
          <w:szCs w:val="32"/>
        </w:rPr>
        <w:t>（一）发展基础</w:t>
      </w:r>
      <w:bookmarkEnd w:id="4"/>
    </w:p>
    <w:p>
      <w:pPr>
        <w:ind w:firstLine="640"/>
        <w:rPr>
          <w:rFonts w:eastAsia="方正楷体_GBK"/>
          <w:szCs w:val="32"/>
        </w:rPr>
      </w:pPr>
      <w:r>
        <w:rPr>
          <w:rFonts w:hint="eastAsia"/>
          <w:szCs w:val="32"/>
        </w:rPr>
        <w:t>“十三五”以来，无锡市认真贯彻落实</w:t>
      </w:r>
      <w:r>
        <w:rPr>
          <w:rFonts w:hint="eastAsia" w:cs="方正仿宋_GBK"/>
        </w:rPr>
        <w:t>习近平总书记视察江苏重要讲话指示精神</w:t>
      </w:r>
      <w:r>
        <w:rPr>
          <w:rFonts w:hint="eastAsia"/>
          <w:szCs w:val="32"/>
        </w:rPr>
        <w:t>，立足新发展阶段，贯彻新发展理念，坚定实施创新驱动核心战略和产业强市主导战略，全市制造业基础稳、实力强，制造业高质量发展开创了新局面。</w:t>
      </w:r>
    </w:p>
    <w:p>
      <w:pPr>
        <w:ind w:firstLine="640"/>
        <w:rPr>
          <w:szCs w:val="32"/>
        </w:rPr>
      </w:pPr>
      <w:r>
        <w:rPr>
          <w:rFonts w:hint="eastAsia" w:eastAsia="方正楷体_GBK"/>
          <w:szCs w:val="32"/>
        </w:rPr>
        <w:t>工业增速保持前列，综合实力稳步提升。</w:t>
      </w:r>
      <w:r>
        <w:rPr>
          <w:rFonts w:hint="eastAsia"/>
          <w:szCs w:val="32"/>
        </w:rPr>
        <w:t>“十三五”以来，无锡制造业已成为全市经济社会发展的重要基石，全市规模工业增加值年均增速达7.6%，高于GDP增速1.1个百分点；全市工业投资年均增速达9.4%，增速从2015年的全省第9跃居2020年的全省第3；全市规模工业实现利润总额年均增速达10.1%，高于全省3个百分点；全市净增规模以上工业企业1180家、净增数居全省之首。</w:t>
      </w:r>
      <w:r>
        <w:rPr>
          <w:rFonts w:hint="eastAsia"/>
          <w:szCs w:val="32"/>
          <w:lang w:eastAsia="zh-CN"/>
        </w:rPr>
        <w:t>到</w:t>
      </w:r>
      <w:r>
        <w:rPr>
          <w:rFonts w:hint="eastAsia"/>
          <w:szCs w:val="32"/>
          <w:lang w:val="en-US" w:eastAsia="zh-CN"/>
        </w:rPr>
        <w:t>2020年</w:t>
      </w:r>
      <w:r>
        <w:rPr>
          <w:rFonts w:hint="eastAsia"/>
          <w:szCs w:val="32"/>
        </w:rPr>
        <w:t xml:space="preserve">末，全市工业增加值达5126.2亿元，占GDP比重达41.4%，制造业在全市经济社会发展中的引领和支撑作用不断增强。  </w:t>
      </w:r>
    </w:p>
    <w:p>
      <w:pPr>
        <w:ind w:firstLine="640"/>
        <w:rPr>
          <w:szCs w:val="32"/>
        </w:rPr>
      </w:pPr>
      <w:r>
        <w:rPr>
          <w:rFonts w:hint="eastAsia" w:eastAsia="方正楷体_GBK"/>
          <w:szCs w:val="32"/>
        </w:rPr>
        <w:t>转型升级成效明显，产业结构持续优化</w:t>
      </w:r>
      <w:r>
        <w:rPr>
          <w:rFonts w:hint="eastAsia"/>
          <w:szCs w:val="32"/>
        </w:rPr>
        <w:t>。聚焦智能化、绿色化、服务化、高端化发展方向，制造业新产业新业态新模式发展取得显著成效。2020年，全市高新技术产业完成产值8502.7亿元，占规模以上工业产值的比重达48.3%，比2015年提高6个百分点；战略性新兴产业完成规模以上工业产值6140.5亿元，占规上工业总产值比重达34.9%，比2015年提高11.5个百分点，其中物联网、集成电路产业年均分别增长20%以上、15%以上；电子、机械行业占比分别由12.8%、38.0%上升到15.2%、41.9%。“十三五”期间，我市相继被评为</w:t>
      </w:r>
      <w:r>
        <w:rPr>
          <w:rFonts w:hint="eastAsia" w:cs="方正仿宋_GBK"/>
          <w:szCs w:val="32"/>
          <w:lang w:bidi="ar"/>
        </w:rPr>
        <w:t>“促进工业稳增长和转型升级成效明显市”，</w:t>
      </w:r>
      <w:r>
        <w:rPr>
          <w:rFonts w:hint="eastAsia"/>
          <w:szCs w:val="32"/>
        </w:rPr>
        <w:t>“大力培育发展战略性新兴产业、产业特色优势明显、技术创新能力较强、产业基础雄厚的地方”“促进制造业创新转型和高质量发展、先进制造业集群培育等工作成效明显的地方”，受到国务院办公厅和省政府办公厅通报激励。</w:t>
      </w:r>
    </w:p>
    <w:p>
      <w:pPr>
        <w:ind w:firstLine="640"/>
        <w:rPr>
          <w:szCs w:val="32"/>
        </w:rPr>
      </w:pPr>
      <w:r>
        <w:rPr>
          <w:rFonts w:hint="eastAsia" w:eastAsia="方正楷体_GBK"/>
          <w:szCs w:val="32"/>
        </w:rPr>
        <w:t>集群建设加快推进，优势产业实力领先。</w:t>
      </w:r>
      <w:r>
        <w:rPr>
          <w:rFonts w:hint="eastAsia"/>
          <w:szCs w:val="32"/>
        </w:rPr>
        <w:t>实施“造补强延”链工程，大力推进“16+4”先进制造业集群建设，具有国际竞争力的产业生态圈加速构建。 2020年，全市16个重点产业集群实现主营业务收入1.5万亿元，比</w:t>
      </w:r>
      <w:r>
        <w:rPr>
          <w:rFonts w:hint="eastAsia"/>
          <w:szCs w:val="32"/>
          <w:lang w:eastAsia="zh-CN"/>
        </w:rPr>
        <w:t>上年</w:t>
      </w:r>
      <w:r>
        <w:rPr>
          <w:rFonts w:hint="eastAsia"/>
          <w:szCs w:val="32"/>
        </w:rPr>
        <w:t>增长11.0%；物联网、集成电路、生物医药等9个集群规模超千亿元。其中，物联网产业营业收入3135.9亿元，接近全省1/2、全国1/4，物联网集群高分通过国家首批先进制造业产业集群竞赛决赛，创成国家级江苏（无锡）车联网先导区，物联网产业成为无锡产业发展新标志；集成电路产业规模达1421.5亿元，占全省五成、居全国第二。</w:t>
      </w:r>
    </w:p>
    <w:p>
      <w:pPr>
        <w:widowControl/>
        <w:ind w:firstLine="640"/>
        <w:rPr>
          <w:szCs w:val="32"/>
        </w:rPr>
      </w:pPr>
      <w:r>
        <w:rPr>
          <w:rFonts w:hint="eastAsia" w:eastAsia="方正楷体_GBK"/>
          <w:szCs w:val="32"/>
        </w:rPr>
        <w:t>创新资源高位集聚</w:t>
      </w:r>
      <w:r>
        <w:rPr>
          <w:rFonts w:hint="eastAsia"/>
          <w:szCs w:val="32"/>
        </w:rPr>
        <w:t>，</w:t>
      </w:r>
      <w:r>
        <w:rPr>
          <w:rFonts w:hint="eastAsia" w:eastAsia="方正楷体_GBK"/>
          <w:szCs w:val="32"/>
        </w:rPr>
        <w:t>创新动能日益增强</w:t>
      </w:r>
      <w:r>
        <w:rPr>
          <w:rFonts w:hint="eastAsia"/>
          <w:szCs w:val="32"/>
        </w:rPr>
        <w:t>。深入实施创新驱动核心战略，先后建成国家超级计算（无锡）中心、国家集成电路特色工艺及封装测试创新中心、国家“芯火”双创基地（平台）等一批重大创新平台，创新发展引擎日益强劲。2020年</w:t>
      </w:r>
      <w:r>
        <w:rPr>
          <w:rFonts w:hint="eastAsia"/>
          <w:szCs w:val="32"/>
          <w:lang w:eastAsia="zh-CN"/>
        </w:rPr>
        <w:t>，</w:t>
      </w:r>
      <w:r>
        <w:rPr>
          <w:rFonts w:hint="eastAsia"/>
          <w:szCs w:val="32"/>
        </w:rPr>
        <w:t>全市全社会研发投入占地区生产总值比重预计达3.1</w:t>
      </w:r>
      <w:r>
        <w:rPr>
          <w:szCs w:val="32"/>
        </w:rPr>
        <w:t>5</w:t>
      </w:r>
      <w:r>
        <w:rPr>
          <w:rFonts w:hint="eastAsia"/>
          <w:szCs w:val="32"/>
        </w:rPr>
        <w:t>%左右、科技进步贡献率达66.7%，分别比</w:t>
      </w:r>
      <w:r>
        <w:rPr>
          <w:rFonts w:hint="eastAsia"/>
          <w:szCs w:val="32"/>
          <w:lang w:val="en-US" w:eastAsia="zh-CN"/>
        </w:rPr>
        <w:t>2015年</w:t>
      </w:r>
      <w:r>
        <w:rPr>
          <w:rFonts w:hint="eastAsia"/>
          <w:szCs w:val="32"/>
        </w:rPr>
        <w:t>高0.</w:t>
      </w:r>
      <w:r>
        <w:rPr>
          <w:szCs w:val="32"/>
        </w:rPr>
        <w:t>3</w:t>
      </w:r>
      <w:r>
        <w:rPr>
          <w:rFonts w:hint="eastAsia"/>
          <w:szCs w:val="32"/>
        </w:rPr>
        <w:t>5个、4.5个百分点。全市万人有效发明专利拥有量达49件，省内领先。</w:t>
      </w:r>
      <w:r>
        <w:rPr>
          <w:rFonts w:hint="eastAsia"/>
          <w:szCs w:val="32"/>
          <w:lang w:eastAsia="zh-CN"/>
        </w:rPr>
        <w:t>至</w:t>
      </w:r>
      <w:r>
        <w:rPr>
          <w:rFonts w:hint="eastAsia"/>
          <w:szCs w:val="32"/>
          <w:lang w:val="en-US" w:eastAsia="zh-CN"/>
        </w:rPr>
        <w:t>2020年底，</w:t>
      </w:r>
      <w:r>
        <w:rPr>
          <w:rFonts w:hint="eastAsia"/>
          <w:szCs w:val="32"/>
        </w:rPr>
        <w:t>全市累计拥有</w:t>
      </w:r>
      <w:r>
        <w:rPr>
          <w:rFonts w:cs="方正仿宋_GBK"/>
          <w:color w:val="000000"/>
          <w:kern w:val="0"/>
          <w:sz w:val="31"/>
          <w:szCs w:val="31"/>
          <w:lang w:bidi="ar"/>
        </w:rPr>
        <w:t>省级</w:t>
      </w:r>
      <w:r>
        <w:rPr>
          <w:rFonts w:hint="eastAsia" w:cs="方正仿宋_GBK"/>
          <w:color w:val="000000"/>
          <w:kern w:val="0"/>
          <w:sz w:val="31"/>
          <w:szCs w:val="31"/>
          <w:lang w:bidi="ar"/>
        </w:rPr>
        <w:t>以上工程研究中心（实验室）、企业技术中心、工程技术研究中心分别达82家、313家、603家</w:t>
      </w:r>
      <w:r>
        <w:rPr>
          <w:rFonts w:hint="eastAsia" w:cs="方正仿宋_GBK"/>
          <w:color w:val="000000"/>
          <w:kern w:val="0"/>
          <w:sz w:val="31"/>
          <w:szCs w:val="31"/>
          <w:lang w:eastAsia="zh-CN" w:bidi="ar"/>
        </w:rPr>
        <w:t>；</w:t>
      </w:r>
      <w:r>
        <w:rPr>
          <w:rFonts w:hint="eastAsia"/>
          <w:szCs w:val="32"/>
        </w:rPr>
        <w:t>实施国家工业强基项目14项，认定省级首台（套）重大装备83项，均位居全省前列。</w:t>
      </w:r>
    </w:p>
    <w:p>
      <w:pPr>
        <w:ind w:firstLine="640"/>
        <w:rPr>
          <w:szCs w:val="32"/>
        </w:rPr>
      </w:pPr>
      <w:r>
        <w:rPr>
          <w:rFonts w:hint="eastAsia" w:eastAsia="方正楷体_GBK"/>
          <w:szCs w:val="32"/>
        </w:rPr>
        <w:t>企业梯队逐步完善，骨干企业支撑有力。</w:t>
      </w:r>
      <w:r>
        <w:rPr>
          <w:rFonts w:hint="eastAsia"/>
          <w:szCs w:val="32"/>
        </w:rPr>
        <w:t>持续完善企业培育体制机制，大力激发企业发展活力，形成了一支龙头牵引强、产业特色显、梯次结构优的企业队伍。2020年，全市14家企业入围中国企业500强，26家企业入围中国制造业企业500强，均位居全省首位，特别是“</w:t>
      </w:r>
      <w:r>
        <w:rPr>
          <w:szCs w:val="32"/>
        </w:rPr>
        <w:t>制造业企业500强</w:t>
      </w:r>
      <w:r>
        <w:rPr>
          <w:rFonts w:hint="eastAsia"/>
          <w:szCs w:val="32"/>
        </w:rPr>
        <w:t>”连续</w:t>
      </w:r>
      <w:r>
        <w:rPr>
          <w:szCs w:val="32"/>
        </w:rPr>
        <w:t>14年</w:t>
      </w:r>
      <w:r>
        <w:rPr>
          <w:rFonts w:hint="eastAsia"/>
          <w:szCs w:val="32"/>
        </w:rPr>
        <w:t>蝉联全省冠军</w:t>
      </w:r>
      <w:r>
        <w:rPr>
          <w:szCs w:val="32"/>
        </w:rPr>
        <w:t>，</w:t>
      </w:r>
      <w:r>
        <w:rPr>
          <w:rFonts w:hint="eastAsia"/>
          <w:szCs w:val="32"/>
        </w:rPr>
        <w:t>入围数</w:t>
      </w:r>
      <w:r>
        <w:rPr>
          <w:szCs w:val="32"/>
        </w:rPr>
        <w:t>比2015年增加5家</w:t>
      </w:r>
      <w:r>
        <w:rPr>
          <w:rFonts w:hint="eastAsia"/>
          <w:szCs w:val="32"/>
        </w:rPr>
        <w:t xml:space="preserve">；38家企业营业收入超百亿，比2015年多11家。“十三五”期间， </w:t>
      </w:r>
      <w:r>
        <w:rPr>
          <w:rFonts w:hint="eastAsia"/>
          <w:szCs w:val="32"/>
          <w:lang w:eastAsia="zh-CN"/>
        </w:rPr>
        <w:t>全市</w:t>
      </w:r>
      <w:r>
        <w:rPr>
          <w:rFonts w:hint="eastAsia"/>
          <w:szCs w:val="32"/>
        </w:rPr>
        <w:t>入选全国质量标杆示范企业10家，数量位居全国前列；入选国家制造业单项冠军企业</w:t>
      </w:r>
      <w:r>
        <w:rPr>
          <w:rFonts w:hint="eastAsia"/>
          <w:szCs w:val="32"/>
          <w:lang w:eastAsia="zh-CN"/>
        </w:rPr>
        <w:t>（产品）</w:t>
      </w:r>
      <w:r>
        <w:rPr>
          <w:rFonts w:hint="eastAsia"/>
          <w:szCs w:val="32"/>
        </w:rPr>
        <w:t>8家，获评国家“专精特新”小巨人企业1</w:t>
      </w:r>
      <w:r>
        <w:rPr>
          <w:szCs w:val="32"/>
        </w:rPr>
        <w:t>0</w:t>
      </w:r>
      <w:r>
        <w:rPr>
          <w:rFonts w:hint="eastAsia"/>
          <w:szCs w:val="32"/>
        </w:rPr>
        <w:t>家。至</w:t>
      </w:r>
      <w:r>
        <w:rPr>
          <w:szCs w:val="32"/>
        </w:rPr>
        <w:t>2020</w:t>
      </w:r>
      <w:r>
        <w:rPr>
          <w:rFonts w:hint="eastAsia"/>
          <w:szCs w:val="32"/>
        </w:rPr>
        <w:t>年底，全市境内外上市企业总数达162家，位居全国地级市前列，无锡成功入选第二批国家产融合作试点城市。</w:t>
      </w:r>
    </w:p>
    <w:p>
      <w:pPr>
        <w:ind w:firstLine="640"/>
        <w:rPr>
          <w:rFonts w:cs="方正仿宋_GBK"/>
          <w:color w:val="000000" w:themeColor="text1"/>
          <w:szCs w:val="32"/>
          <w:u w:color="000000"/>
          <w14:textFill>
            <w14:solidFill>
              <w14:schemeClr w14:val="tx1"/>
            </w14:solidFill>
          </w14:textFill>
        </w:rPr>
      </w:pPr>
      <w:r>
        <w:rPr>
          <w:rFonts w:hint="eastAsia" w:eastAsia="方正楷体_GBK"/>
          <w:szCs w:val="32"/>
        </w:rPr>
        <w:t>两化融合持续深化，智造水平显著提升</w:t>
      </w:r>
      <w:r>
        <w:rPr>
          <w:rFonts w:hint="eastAsia"/>
          <w:szCs w:val="32"/>
        </w:rPr>
        <w:t>。充分发挥国家级两化深度融合试验区引领作用，制造业数字化发展水平迈上新台阶。</w:t>
      </w:r>
      <w:r>
        <w:rPr>
          <w:rFonts w:hint="eastAsia"/>
          <w:szCs w:val="32"/>
          <w:lang w:eastAsia="zh-CN"/>
        </w:rPr>
        <w:t>至</w:t>
      </w:r>
      <w:r>
        <w:rPr>
          <w:rFonts w:hint="eastAsia"/>
          <w:szCs w:val="32"/>
        </w:rPr>
        <w:t>2020年底，全市创成两化</w:t>
      </w:r>
      <w:r>
        <w:rPr>
          <w:szCs w:val="32"/>
        </w:rPr>
        <w:t>融合管理体系贯标试点</w:t>
      </w:r>
      <w:r>
        <w:rPr>
          <w:rFonts w:hint="eastAsia"/>
          <w:szCs w:val="32"/>
        </w:rPr>
        <w:t>企业471家，国家级智能制造示范应用项目</w:t>
      </w:r>
      <w:r>
        <w:rPr>
          <w:szCs w:val="32"/>
        </w:rPr>
        <w:t>10</w:t>
      </w:r>
      <w:r>
        <w:rPr>
          <w:rFonts w:hint="eastAsia"/>
          <w:szCs w:val="32"/>
        </w:rPr>
        <w:t>个，省级智能工厂3家、智能车间</w:t>
      </w:r>
      <w:r>
        <w:rPr>
          <w:szCs w:val="32"/>
        </w:rPr>
        <w:t>161</w:t>
      </w:r>
      <w:r>
        <w:rPr>
          <w:rFonts w:hint="eastAsia"/>
          <w:szCs w:val="32"/>
        </w:rPr>
        <w:t>个，均位居全省前列；获评工信部工业互联网试点示范项目</w:t>
      </w:r>
      <w:r>
        <w:rPr>
          <w:szCs w:val="32"/>
        </w:rPr>
        <w:t>3</w:t>
      </w:r>
      <w:r>
        <w:rPr>
          <w:rFonts w:hint="eastAsia"/>
          <w:szCs w:val="32"/>
        </w:rPr>
        <w:t>个，创成省级工业互联网标杆工厂9家、省重点工业互联网平台</w:t>
      </w:r>
      <w:r>
        <w:rPr>
          <w:szCs w:val="32"/>
        </w:rPr>
        <w:t>12</w:t>
      </w:r>
      <w:r>
        <w:rPr>
          <w:rFonts w:hint="eastAsia"/>
          <w:szCs w:val="32"/>
        </w:rPr>
        <w:t>个，“瀚云”平台成为全国八大五星级工业互联网平台之一；</w:t>
      </w:r>
      <w:r>
        <w:rPr>
          <w:rFonts w:hint="eastAsia"/>
          <w:color w:val="000000"/>
          <w:kern w:val="0"/>
          <w:szCs w:val="32"/>
        </w:rPr>
        <w:t>全</w:t>
      </w:r>
      <w:r>
        <w:rPr>
          <w:color w:val="000000"/>
          <w:kern w:val="0"/>
          <w:szCs w:val="32"/>
        </w:rPr>
        <w:t>市</w:t>
      </w:r>
      <w:r>
        <w:rPr>
          <w:rFonts w:hint="eastAsia"/>
          <w:color w:val="000000"/>
          <w:kern w:val="0"/>
          <w:szCs w:val="32"/>
        </w:rPr>
        <w:t>星级上云企业累计</w:t>
      </w:r>
      <w:r>
        <w:rPr>
          <w:color w:val="000000"/>
          <w:kern w:val="0"/>
          <w:szCs w:val="32"/>
        </w:rPr>
        <w:t>达到562</w:t>
      </w:r>
      <w:r>
        <w:rPr>
          <w:rFonts w:hint="eastAsia"/>
          <w:color w:val="000000"/>
          <w:kern w:val="0"/>
          <w:szCs w:val="32"/>
        </w:rPr>
        <w:t>家。</w:t>
      </w:r>
      <w:r>
        <w:rPr>
          <w:rFonts w:hint="eastAsia"/>
          <w:szCs w:val="32"/>
        </w:rPr>
        <w:t>在全国同类城市中率先出台</w:t>
      </w:r>
      <w:r>
        <w:rPr>
          <w:szCs w:val="32"/>
        </w:rPr>
        <w:t>5G产业发展规划</w:t>
      </w:r>
      <w:r>
        <w:rPr>
          <w:rFonts w:hint="eastAsia"/>
          <w:szCs w:val="32"/>
        </w:rPr>
        <w:t>，</w:t>
      </w:r>
      <w:r>
        <w:rPr>
          <w:szCs w:val="32"/>
        </w:rPr>
        <w:t>建成5G基站超8000个，</w:t>
      </w:r>
      <w:r>
        <w:rPr>
          <w:rFonts w:hint="eastAsia" w:cs="方正仿宋_GBK"/>
          <w:color w:val="000000" w:themeColor="text1"/>
          <w:szCs w:val="32"/>
          <w:u w:color="000000"/>
          <w:lang w:eastAsia="zh-TW"/>
          <w14:textFill>
            <w14:solidFill>
              <w14:schemeClr w14:val="tx1"/>
            </w14:solidFill>
          </w14:textFill>
        </w:rPr>
        <w:t>基本实现市区、发达镇村和重点区域全覆盖</w:t>
      </w:r>
      <w:r>
        <w:rPr>
          <w:rFonts w:hint="eastAsia" w:cs="方正仿宋_GBK"/>
          <w:color w:val="000000" w:themeColor="text1"/>
          <w:szCs w:val="32"/>
          <w:u w:color="000000"/>
          <w14:textFill>
            <w14:solidFill>
              <w14:schemeClr w14:val="tx1"/>
            </w14:solidFill>
          </w14:textFill>
        </w:rPr>
        <w:t>，获评国家综合型信息消费示范城市。</w:t>
      </w:r>
    </w:p>
    <w:p>
      <w:pPr>
        <w:ind w:firstLine="640"/>
        <w:contextualSpacing/>
        <w:rPr>
          <w:szCs w:val="32"/>
        </w:rPr>
      </w:pPr>
      <w:r>
        <w:rPr>
          <w:rFonts w:hint="eastAsia" w:eastAsia="方正楷体_GBK"/>
          <w:szCs w:val="32"/>
        </w:rPr>
        <w:t>环保安全整治有力</w:t>
      </w:r>
      <w:r>
        <w:rPr>
          <w:rFonts w:hint="eastAsia"/>
          <w:szCs w:val="32"/>
        </w:rPr>
        <w:t>，</w:t>
      </w:r>
      <w:r>
        <w:rPr>
          <w:rFonts w:hint="eastAsia" w:eastAsia="方正楷体_GBK"/>
          <w:szCs w:val="32"/>
        </w:rPr>
        <w:t>绿色发展持续深化</w:t>
      </w:r>
      <w:r>
        <w:rPr>
          <w:rFonts w:hint="eastAsia"/>
          <w:szCs w:val="32"/>
        </w:rPr>
        <w:t>。</w:t>
      </w:r>
      <w:r>
        <w:rPr>
          <w:rFonts w:hint="eastAsia"/>
        </w:rPr>
        <w:t>以供给侧结构性改革为主线，推动制造业绿色集约安全发展。</w:t>
      </w:r>
      <w:r>
        <w:rPr>
          <w:rFonts w:hint="eastAsia"/>
          <w:szCs w:val="32"/>
        </w:rPr>
        <w:t>五年压减钢铁产能520万吨、水泥产能30万吨，关闭化工生产企业887家，太湖一级区基本建成无化区。建成国家级绿色工厂18家，省级绿色工厂6家，</w:t>
      </w:r>
      <w:r>
        <w:rPr>
          <w:szCs w:val="32"/>
        </w:rPr>
        <w:t>2</w:t>
      </w:r>
      <w:r>
        <w:rPr>
          <w:rFonts w:hint="eastAsia"/>
          <w:szCs w:val="32"/>
        </w:rPr>
        <w:t>家企业中标工信部绿色制造供应商，</w:t>
      </w:r>
      <w:r>
        <w:rPr>
          <w:szCs w:val="32"/>
        </w:rPr>
        <w:t>7家企业入围工信部环保装备制造业规范条件名单，入围数量位居全省前列。</w:t>
      </w:r>
      <w:r>
        <w:rPr>
          <w:rFonts w:hint="eastAsia"/>
          <w:szCs w:val="32"/>
        </w:rPr>
        <w:t xml:space="preserve">“十三五”期间全市单位GDP 能耗累计下降超过18%，万元工业增加值综合能耗累计下降23.4 </w:t>
      </w:r>
      <w:r>
        <w:rPr>
          <w:szCs w:val="32"/>
        </w:rPr>
        <w:t>%</w:t>
      </w:r>
      <w:r>
        <w:rPr>
          <w:rFonts w:hint="eastAsia"/>
          <w:szCs w:val="32"/>
        </w:rPr>
        <w:t>，全</w:t>
      </w:r>
      <w:r>
        <w:rPr>
          <w:szCs w:val="32"/>
        </w:rPr>
        <w:t>市单位GDP能耗提前一年达到全省高水平全面建成小康社会统计监测指标体系要求</w:t>
      </w:r>
      <w:r>
        <w:rPr>
          <w:rFonts w:hint="eastAsia"/>
          <w:szCs w:val="32"/>
        </w:rPr>
        <w:t>。</w:t>
      </w:r>
    </w:p>
    <w:p>
      <w:pPr>
        <w:ind w:firstLine="640"/>
        <w:contextualSpacing/>
        <w:outlineLvl w:val="9"/>
        <w:rPr>
          <w:rFonts w:eastAsia="方正楷体_GBK"/>
          <w:szCs w:val="32"/>
        </w:rPr>
      </w:pPr>
      <w:r>
        <w:rPr>
          <w:rFonts w:hint="eastAsia"/>
          <w:szCs w:val="32"/>
        </w:rPr>
        <w:t>“十三五”期间，无锡制造业发展取得长足进步，但仍存在一些问题、困难和矛盾，主要是：产业发展能级还不够高，工业产品以中间产品为主，附加值不高；部分新兴产业虽然取得“起跑”优势，但仍未形成“规模”优势，对无锡经济的支撑力还不强；部分传统产业大而不强，核心技术、关键设备仍受制于人；科技创新动能不足，高层次人才紧缺，创新载体建设还不够完善；行业领军企业、</w:t>
      </w:r>
      <w:r>
        <w:rPr>
          <w:rFonts w:hint="eastAsia"/>
          <w:color w:val="000000"/>
          <w:szCs w:val="32"/>
        </w:rPr>
        <w:t>龙头企业、链主企业数量不够多，</w:t>
      </w:r>
      <w:r>
        <w:rPr>
          <w:rFonts w:hint="eastAsia" w:cs="方正仿宋_GBK"/>
          <w:szCs w:val="32"/>
        </w:rPr>
        <w:t>产业链整合、产业要素集聚有待加强；</w:t>
      </w:r>
      <w:r>
        <w:rPr>
          <w:rFonts w:hint="eastAsia"/>
          <w:szCs w:val="32"/>
        </w:rPr>
        <w:t>资源要素瓶颈凸显，产业长远发展面临土地、环境、人才等要素制约。这些都亟待在“十四五”期间重点加以突破。</w:t>
      </w:r>
    </w:p>
    <w:p>
      <w:pPr>
        <w:ind w:firstLine="640"/>
        <w:outlineLvl w:val="1"/>
        <w:rPr>
          <w:rFonts w:eastAsia="方正楷体_GBK"/>
          <w:szCs w:val="32"/>
        </w:rPr>
      </w:pPr>
      <w:bookmarkStart w:id="5" w:name="_Toc80864433"/>
      <w:r>
        <w:rPr>
          <w:rFonts w:hint="eastAsia" w:eastAsia="方正楷体_GBK"/>
          <w:szCs w:val="32"/>
        </w:rPr>
        <w:t>（二）发展形势</w:t>
      </w:r>
      <w:bookmarkEnd w:id="5"/>
    </w:p>
    <w:p>
      <w:pPr>
        <w:widowControl/>
        <w:ind w:firstLine="640"/>
        <w:rPr>
          <w:lang w:bidi="ar"/>
        </w:rPr>
      </w:pPr>
      <w:r>
        <w:rPr>
          <w:rFonts w:hint="eastAsia"/>
          <w:color w:val="000000"/>
          <w:lang w:bidi="ar"/>
        </w:rPr>
        <w:t>未来五年，是无锡融入全局的加速调整期、自主创新的关键机遇期、产业强市的纵深推进期、改革开放的巩固提升期、区域发展的深度融合期、生态建设的攻坚窗口期</w:t>
      </w:r>
      <w:r>
        <w:rPr>
          <w:rFonts w:hint="eastAsia"/>
          <w:lang w:bidi="ar"/>
        </w:rPr>
        <w:t>。无锡制造业高质量发展面临新的机遇和挑战。</w:t>
      </w:r>
    </w:p>
    <w:p>
      <w:pPr>
        <w:ind w:firstLine="640"/>
        <w:rPr>
          <w:rFonts w:cs="方正仿宋_GBK"/>
          <w:color w:val="070707"/>
          <w:kern w:val="0"/>
          <w:szCs w:val="32"/>
        </w:rPr>
      </w:pPr>
      <w:r>
        <w:rPr>
          <w:rFonts w:hint="eastAsia" w:eastAsia="方正楷体_GBK" w:cstheme="minorBidi"/>
          <w:kern w:val="0"/>
          <w:szCs w:val="32"/>
        </w:rPr>
        <w:t>新一轮科技革命和产业变革将为无锡制造业高质量发展带来新机遇和新挑战</w:t>
      </w:r>
      <w:r>
        <w:rPr>
          <w:rFonts w:hint="eastAsia" w:cstheme="minorBidi"/>
          <w:kern w:val="0"/>
          <w:szCs w:val="32"/>
        </w:rPr>
        <w:t>。</w:t>
      </w:r>
      <w:r>
        <w:rPr>
          <w:rFonts w:hint="eastAsia" w:cs="方正仿宋_GBK"/>
          <w:color w:val="070707"/>
          <w:kern w:val="0"/>
          <w:szCs w:val="32"/>
        </w:rPr>
        <w:t>新科技革命带来的产业变革将新一代信息技术融入制造业产品研发、设计、制造、服务过程，逐步改变传统生产模式和服务业态，推动传统生产方式和商业模式变革，有利于推动无锡产业加快向</w:t>
      </w:r>
      <w:r>
        <w:rPr>
          <w:rFonts w:hint="eastAsia" w:cs="方正仿宋_GBK"/>
          <w:szCs w:val="32"/>
        </w:rPr>
        <w:t>智能化、数字化、绿色化、高端化转型。同时，</w:t>
      </w:r>
      <w:r>
        <w:rPr>
          <w:rFonts w:hint="eastAsia" w:cs="方正仿宋_GBK"/>
          <w:color w:val="070707"/>
          <w:kern w:val="0"/>
          <w:szCs w:val="32"/>
        </w:rPr>
        <w:t>新技术的产业化和商业化将带来新消费、新基建、新贸易，催生产业经济新增长点，为我市充分发挥物联网、集成电路等</w:t>
      </w:r>
      <w:r>
        <w:rPr>
          <w:rFonts w:hint="eastAsia" w:cs="方正仿宋_GBK"/>
          <w:szCs w:val="32"/>
        </w:rPr>
        <w:t>产业优势，加快构建以先进制造业为主体的现代产业体系带来强劲动能。</w:t>
      </w:r>
      <w:r>
        <w:rPr>
          <w:rFonts w:hint="eastAsia" w:eastAsia="方正黑体_GBK" w:cs="方正仿宋_GBK"/>
          <w:szCs w:val="32"/>
        </w:rPr>
        <w:t>但</w:t>
      </w:r>
      <w:r>
        <w:rPr>
          <w:rFonts w:hint="eastAsia" w:cs="方正仿宋_GBK"/>
          <w:szCs w:val="32"/>
        </w:rPr>
        <w:t>新科技革命下的产业竞争焦点转移将为无锡制造业高质量发展带来新挑战。颠覆性技术的应用将推动全球从产业链式分工转向产业网络式分工，数据、知识、金融等创新要素和研发设计活动在市场竞争中的重要性不断强化，制造业竞争焦点将从规模和成本转向效率和创新，无锡制造业发展将面临更大的竞争压力。</w:t>
      </w:r>
    </w:p>
    <w:p>
      <w:pPr>
        <w:ind w:firstLine="640"/>
        <w:rPr>
          <w:rFonts w:cstheme="minorBidi"/>
          <w:kern w:val="0"/>
          <w:szCs w:val="32"/>
        </w:rPr>
      </w:pPr>
      <w:r>
        <w:rPr>
          <w:rFonts w:hint="eastAsia" w:eastAsia="方正楷体_GBK" w:cstheme="minorBidi"/>
          <w:kern w:val="0"/>
          <w:szCs w:val="32"/>
        </w:rPr>
        <w:t>新发展格局的加速构建将为无锡制造业高质量发展带来新机遇和新挑战。</w:t>
      </w:r>
      <w:r>
        <w:rPr>
          <w:rFonts w:hint="eastAsia" w:cs="方正仿宋_GBK"/>
          <w:kern w:val="0"/>
          <w:szCs w:val="32"/>
        </w:rPr>
        <w:t>以国内大循环为主体、国内国际双循环相互促进的新发展格局是未来中国经济发展的战略基点。随着消费升级趋势深入演进、新基建等政策举措全面落实，我国正加快构建完整的内需体系，经济增长内需潜力不断释放，为制造业高质量发展提供了更广阔的国内市场空间。而“区域全面经济伙伴关系协定”（</w:t>
      </w:r>
      <w:r>
        <w:rPr>
          <w:rFonts w:cs="方正仿宋_GBK"/>
          <w:kern w:val="0"/>
          <w:szCs w:val="32"/>
        </w:rPr>
        <w:t>RCEP</w:t>
      </w:r>
      <w:r>
        <w:rPr>
          <w:rFonts w:hint="eastAsia" w:cs="方正仿宋_GBK"/>
          <w:kern w:val="0"/>
          <w:szCs w:val="32"/>
        </w:rPr>
        <w:t>）、“中日韩自贸协定”（</w:t>
      </w:r>
      <w:r>
        <w:rPr>
          <w:rFonts w:cs="方正仿宋_GBK"/>
          <w:kern w:val="0"/>
          <w:szCs w:val="32"/>
        </w:rPr>
        <w:t>FTA</w:t>
      </w:r>
      <w:r>
        <w:rPr>
          <w:rFonts w:hint="eastAsia" w:cs="方正仿宋_GBK"/>
          <w:kern w:val="0"/>
          <w:szCs w:val="32"/>
        </w:rPr>
        <w:t>）的加快推进和江苏自贸试验区联动创新发展区的推动建设，既有利于我市强化各类口岸功能，实现高水平的互联互通，又有利于我市充分发挥日韩资企业聚集优势，实现更高水平的开放合作。</w:t>
      </w:r>
      <w:r>
        <w:rPr>
          <w:rFonts w:hint="eastAsia" w:eastAsia="方正黑体_GBK" w:cs="方正仿宋_GBK"/>
          <w:kern w:val="0"/>
          <w:szCs w:val="32"/>
        </w:rPr>
        <w:t>但</w:t>
      </w:r>
      <w:r>
        <w:rPr>
          <w:rFonts w:hint="eastAsia" w:cs="方正仿宋_GBK"/>
          <w:kern w:val="0"/>
          <w:szCs w:val="32"/>
        </w:rPr>
        <w:t>国际形势的不稳定性不确定性明显增加将为无锡制造业高质量发展带来新挑战。在百年未有之大变局下，单边主义、贸易保护主义和霸权主义盛行，中美贸易摩擦长期化、西方</w:t>
      </w:r>
      <w:r>
        <w:rPr>
          <w:rFonts w:hint="eastAsia" w:cs="方正仿宋_GBK"/>
          <w:kern w:val="0"/>
          <w:szCs w:val="32"/>
          <w:lang w:eastAsia="zh-CN"/>
        </w:rPr>
        <w:t>国家</w:t>
      </w:r>
      <w:r>
        <w:rPr>
          <w:rFonts w:hint="eastAsia" w:cs="方正仿宋_GBK"/>
          <w:kern w:val="0"/>
          <w:szCs w:val="32"/>
        </w:rPr>
        <w:t>对华技术限制、新冠疫情防控常态化等因素叠加，国际投资经贸规则和全球治理体系面临新一轮重构，制造业中高端向发达国家回流和中低端向发展中国家分流，全球产业布局向“近岸化”“短链化”转变。无锡产业发展面临更多不确定因素冲击，潜在风险增多。</w:t>
      </w:r>
    </w:p>
    <w:p>
      <w:pPr>
        <w:pStyle w:val="2"/>
        <w:spacing w:after="0"/>
        <w:ind w:firstLine="640"/>
      </w:pPr>
      <w:r>
        <w:rPr>
          <w:rFonts w:hint="eastAsia" w:eastAsia="方正楷体_GBK"/>
        </w:rPr>
        <w:t>国家和地方重大战略叠加将为无锡制造业高质量发展带来新机遇和新挑战</w:t>
      </w:r>
      <w:r>
        <w:rPr>
          <w:rFonts w:hint="eastAsia"/>
        </w:rPr>
        <w:t>。“一带一路”、长江经济带、长三角区域一体化发展等国家战略以及“开放强省”、太湖湾科创带等省、市重要战略的深入推进，为无锡深度融入上海大都市圈、苏锡常都市圈提供了难得的机遇，有利于无锡充分发挥长三角区域中心城市的区位优势，推进项目对接、产业协作和服务融通，进一步吸引龙头骨干企业在无锡设立研发和生产基地，促进产业链供应链优化升级，打造“长三角先进制造核心区”。</w:t>
      </w:r>
      <w:r>
        <w:rPr>
          <w:rFonts w:hint="eastAsia" w:eastAsia="方正黑体_GBK"/>
        </w:rPr>
        <w:t>但</w:t>
      </w:r>
      <w:r>
        <w:rPr>
          <w:rFonts w:hint="eastAsia"/>
        </w:rPr>
        <w:t>城市间新一轮竞争将为无锡制造业高质量发展带来新挑战。在区域一体化背景下，各地争相对接高能级中心城市，承接产业转移、吸纳资源溢出，区域内要素流动将进一步加速，新一轮产业布局将迎来更多压力。</w:t>
      </w:r>
    </w:p>
    <w:p>
      <w:pPr>
        <w:ind w:firstLine="640"/>
        <w:outlineLvl w:val="0"/>
        <w:rPr>
          <w:rFonts w:eastAsia="方正黑体_GBK"/>
          <w:szCs w:val="32"/>
        </w:rPr>
      </w:pPr>
      <w:bookmarkStart w:id="6" w:name="_Toc80864434"/>
      <w:r>
        <w:rPr>
          <w:rFonts w:hint="eastAsia" w:eastAsia="方正黑体_GBK"/>
          <w:szCs w:val="32"/>
        </w:rPr>
        <w:t>二、总体要求</w:t>
      </w:r>
      <w:bookmarkEnd w:id="6"/>
    </w:p>
    <w:p>
      <w:pPr>
        <w:ind w:firstLine="640"/>
        <w:outlineLvl w:val="1"/>
        <w:rPr>
          <w:rFonts w:eastAsia="方正楷体_GBK"/>
          <w:szCs w:val="32"/>
        </w:rPr>
      </w:pPr>
      <w:bookmarkStart w:id="7" w:name="_Toc80864435"/>
      <w:r>
        <w:rPr>
          <w:rFonts w:hint="eastAsia" w:eastAsia="方正楷体_GBK"/>
          <w:szCs w:val="32"/>
        </w:rPr>
        <w:t>（一）指导思想</w:t>
      </w:r>
      <w:bookmarkEnd w:id="7"/>
    </w:p>
    <w:p>
      <w:pPr>
        <w:pStyle w:val="2"/>
        <w:spacing w:after="0"/>
        <w:ind w:firstLine="640"/>
        <w:rPr>
          <w:rFonts w:cs="方正仿宋_GBK"/>
        </w:rPr>
      </w:pPr>
      <w:r>
        <w:rPr>
          <w:rFonts w:hint="eastAsia" w:cs="方正仿宋_GBK"/>
        </w:rPr>
        <w:t>以习近平新时代中国特色社会主义思想为指导，全面贯彻党的十九大和十九届二中、三中、四中、五中全会精神，全面落实习近平总书记视察江苏重要讲话指示精神，</w:t>
      </w:r>
      <w:r>
        <w:rPr>
          <w:rFonts w:hint="eastAsia" w:cs="方正仿宋_GBK"/>
          <w:lang w:eastAsia="zh-CN"/>
        </w:rPr>
        <w:t>把握</w:t>
      </w:r>
      <w:r>
        <w:rPr>
          <w:rFonts w:hint="eastAsia" w:cs="方正仿宋_GBK"/>
        </w:rPr>
        <w:t>新发展阶段，</w:t>
      </w:r>
      <w:r>
        <w:rPr>
          <w:rFonts w:hint="eastAsia" w:cs="方正仿宋_GBK"/>
          <w:lang w:eastAsia="zh-CN"/>
        </w:rPr>
        <w:t>完整准确全面</w:t>
      </w:r>
      <w:r>
        <w:rPr>
          <w:rFonts w:hint="eastAsia" w:cs="方正仿宋_GBK"/>
        </w:rPr>
        <w:t>贯彻新发展理念，</w:t>
      </w:r>
      <w:r>
        <w:rPr>
          <w:rFonts w:hint="eastAsia" w:cs="方正仿宋_GBK"/>
          <w:lang w:eastAsia="zh-CN"/>
        </w:rPr>
        <w:t>服务和融入新发展格局，</w:t>
      </w:r>
      <w:r>
        <w:rPr>
          <w:rFonts w:hint="eastAsia" w:cs="方正仿宋_GBK"/>
        </w:rPr>
        <w:t>以推动高质量发展为主题，以深化供给侧结构性改革为主线，</w:t>
      </w:r>
      <w:r>
        <w:rPr>
          <w:rFonts w:hint="eastAsia" w:cs="方正仿宋_GBK"/>
          <w:szCs w:val="32"/>
        </w:rPr>
        <w:t>以改革创新为根本动力，</w:t>
      </w:r>
      <w:r>
        <w:rPr>
          <w:rFonts w:hint="eastAsia" w:cs="方正仿宋_GBK"/>
        </w:rPr>
        <w:t>围绕“建设具有国际竞争力的先进制造业基地和产业科技创新高地”主要目标，深入推进创新驱动核心战略和产业强市主导战略，全力构建以“五大地标产业</w:t>
      </w:r>
      <w:r>
        <w:rPr>
          <w:rFonts w:cs="方正仿宋_GBK"/>
        </w:rPr>
        <w:t>+</w:t>
      </w:r>
      <w:r>
        <w:rPr>
          <w:rFonts w:hint="eastAsia" w:cs="方正仿宋_GBK"/>
        </w:rPr>
        <w:t>七大重点产业</w:t>
      </w:r>
      <w:r>
        <w:rPr>
          <w:rFonts w:cs="方正仿宋_GBK"/>
        </w:rPr>
        <w:t>+</w:t>
      </w:r>
      <w:r>
        <w:rPr>
          <w:rFonts w:hint="eastAsia" w:cs="方正仿宋_GBK"/>
        </w:rPr>
        <w:t>七大未来产业”为主体的先进制造业产业体系，着力提高产业基础高级化、产业链现代化水平，为无锡勇做全省“争当表率、争做示范、走在前列”排头兵、勇创全省“强富美高”建设示范区、勇当全省高质量发展领跑者提供有力支撑和重要保障。</w:t>
      </w:r>
    </w:p>
    <w:p>
      <w:pPr>
        <w:ind w:firstLine="640"/>
        <w:outlineLvl w:val="1"/>
        <w:rPr>
          <w:rFonts w:eastAsia="方正楷体_GBK"/>
          <w:szCs w:val="32"/>
        </w:rPr>
      </w:pPr>
      <w:bookmarkStart w:id="8" w:name="_Toc80864436"/>
      <w:r>
        <w:rPr>
          <w:rFonts w:hint="eastAsia" w:eastAsia="方正楷体_GBK"/>
          <w:szCs w:val="32"/>
        </w:rPr>
        <w:t>（二）基本原则</w:t>
      </w:r>
      <w:bookmarkEnd w:id="8"/>
    </w:p>
    <w:p>
      <w:pPr>
        <w:ind w:firstLine="640"/>
        <w:rPr>
          <w:rFonts w:cs="方正仿宋_GBK"/>
        </w:rPr>
      </w:pPr>
      <w:r>
        <w:rPr>
          <w:rFonts w:hint="eastAsia" w:eastAsia="方正楷体_GBK"/>
          <w:szCs w:val="32"/>
        </w:rPr>
        <w:t>创新驱动，高端发展。</w:t>
      </w:r>
      <w:r>
        <w:rPr>
          <w:rFonts w:hint="eastAsia" w:cs="方正仿宋_GBK"/>
        </w:rPr>
        <w:t>把创新摆在制造业发展全局的核心位置，推动产业链创新链深度融合，打好关键核心技术攻坚战，加快推动产品创新、技术创新、业态创新、模式创新，优化创新生态、激发创新活力，加快构建以创新为引领的制造业发展体系。</w:t>
      </w:r>
    </w:p>
    <w:p>
      <w:pPr>
        <w:ind w:firstLine="640"/>
        <w:rPr>
          <w:szCs w:val="22"/>
        </w:rPr>
      </w:pPr>
      <w:r>
        <w:rPr>
          <w:rFonts w:hint="eastAsia" w:eastAsia="方正楷体_GBK"/>
          <w:szCs w:val="32"/>
        </w:rPr>
        <w:t>集群引领，特色发展。</w:t>
      </w:r>
      <w:r>
        <w:rPr>
          <w:rFonts w:hint="eastAsia" w:cs="方正仿宋_GBK"/>
        </w:rPr>
        <w:t>把</w:t>
      </w:r>
      <w:r>
        <w:rPr>
          <w:rFonts w:cs="方正仿宋_GBK"/>
          <w:color w:val="000000"/>
        </w:rPr>
        <w:t>产业集群</w:t>
      </w:r>
      <w:r>
        <w:rPr>
          <w:rFonts w:hint="eastAsia" w:cs="方正仿宋_GBK"/>
        </w:rPr>
        <w:t>作为</w:t>
      </w:r>
      <w:r>
        <w:rPr>
          <w:rFonts w:cs="方正仿宋_GBK"/>
          <w:color w:val="000000"/>
        </w:rPr>
        <w:t>产业现代化发展的主要形态</w:t>
      </w:r>
      <w:r>
        <w:rPr>
          <w:rFonts w:hint="eastAsia" w:cs="方正仿宋_GBK"/>
        </w:rPr>
        <w:t>，大力发展重点先进制造业集群，</w:t>
      </w:r>
      <w:r>
        <w:rPr>
          <w:rFonts w:cs="方正仿宋_GBK"/>
          <w:color w:val="000000"/>
        </w:rPr>
        <w:t>着力构建企业集聚、产业集群、发展集约的新格局</w:t>
      </w:r>
      <w:r>
        <w:rPr>
          <w:rFonts w:hint="eastAsia" w:cs="方正仿宋_GBK"/>
        </w:rPr>
        <w:t>。</w:t>
      </w:r>
      <w:r>
        <w:rPr>
          <w:rFonts w:hint="eastAsia"/>
          <w:szCs w:val="22"/>
        </w:rPr>
        <w:t>鼓励龙头企业与中小企业建立高水平、专业化协作配套关系，加快形成集大中小企业、创新载体、公共服务平台于一体的集群发展生态。</w:t>
      </w:r>
    </w:p>
    <w:p>
      <w:pPr>
        <w:ind w:firstLine="640"/>
        <w:rPr>
          <w:rFonts w:cs="方正仿宋_GBK"/>
        </w:rPr>
      </w:pPr>
      <w:r>
        <w:rPr>
          <w:rFonts w:hint="eastAsia" w:eastAsia="方正楷体_GBK"/>
          <w:szCs w:val="32"/>
        </w:rPr>
        <w:t>数字赋能，智慧发展。</w:t>
      </w:r>
      <w:r>
        <w:rPr>
          <w:rFonts w:hint="eastAsia" w:cs="方正仿宋_GBK"/>
        </w:rPr>
        <w:t>顺应数字化发展趋势，深化5G、互联网、人工智能、大数据、云计算、区块链等新一代信息技术在制造业领域的广泛应用，提升制造业数字化、网络化智能化、服务化发展水平。</w:t>
      </w:r>
    </w:p>
    <w:p>
      <w:pPr>
        <w:ind w:firstLine="640"/>
        <w:rPr>
          <w:rFonts w:cs="方正仿宋_GBK"/>
        </w:rPr>
      </w:pPr>
      <w:r>
        <w:rPr>
          <w:rFonts w:hint="eastAsia" w:eastAsia="方正楷体_GBK"/>
          <w:szCs w:val="32"/>
        </w:rPr>
        <w:t>强基固本，品牌发展。</w:t>
      </w:r>
      <w:r>
        <w:rPr>
          <w:rFonts w:hint="eastAsia" w:cs="方正仿宋_GBK"/>
        </w:rPr>
        <w:t>高点定位，围绕重点产业基础领域，锻长板、补短板，加快形成安全可控的产业基础体系。培育自主知识产权、自主核心技术和自主品牌，加快塑造市场认可度高、影响力大的工业名品，打响“无锡制造”品牌。</w:t>
      </w:r>
    </w:p>
    <w:p>
      <w:pPr>
        <w:ind w:firstLine="640"/>
        <w:rPr>
          <w:rFonts w:cs="方正仿宋_GBK"/>
        </w:rPr>
      </w:pPr>
      <w:r>
        <w:rPr>
          <w:rFonts w:hint="eastAsia" w:eastAsia="方正楷体_GBK"/>
          <w:szCs w:val="32"/>
        </w:rPr>
        <w:t>生态优先，绿色发展。</w:t>
      </w:r>
      <w:r>
        <w:rPr>
          <w:rFonts w:hint="eastAsia" w:cs="方正仿宋_GBK"/>
        </w:rPr>
        <w:t xml:space="preserve">坚守生态底线，践行碳达峰碳中和战略，强化绿色低碳技术供给，加大淘汰落后和污染整治力度，加快构建绿色制造体系。加快提升资源能源综合利用效率和产出效益，持续注入绿色发展动能。注重防范安全环保重大风险，持续增强制造业安全可持续发展能力。 </w:t>
      </w:r>
    </w:p>
    <w:p>
      <w:pPr>
        <w:ind w:firstLine="640"/>
        <w:rPr>
          <w:rFonts w:cs="方正仿宋_GBK"/>
        </w:rPr>
      </w:pPr>
      <w:r>
        <w:rPr>
          <w:rFonts w:hint="eastAsia" w:eastAsia="方正楷体_GBK"/>
          <w:szCs w:val="32"/>
        </w:rPr>
        <w:t>畅通循环，开放发展。</w:t>
      </w:r>
      <w:r>
        <w:rPr>
          <w:rFonts w:hint="eastAsia" w:cs="方正仿宋_GBK"/>
        </w:rPr>
        <w:t>坚持市场主导与政府引导，激发市场主体活力。鼓励企业抢抓“双循环”新机遇，高水平参与国内国际竞争，深化资源要素开放共享、企业主体开放合作、产业链跨区域联动、生产力跨区域布局，加速高端要素集聚，提升综合竞争力。</w:t>
      </w:r>
    </w:p>
    <w:p>
      <w:pPr>
        <w:ind w:firstLine="640"/>
        <w:outlineLvl w:val="1"/>
        <w:rPr>
          <w:rFonts w:eastAsia="方正楷体_GBK"/>
          <w:szCs w:val="32"/>
        </w:rPr>
      </w:pPr>
      <w:bookmarkStart w:id="9" w:name="_Toc80864437"/>
      <w:r>
        <w:rPr>
          <w:rFonts w:hint="eastAsia" w:eastAsia="方正楷体_GBK"/>
          <w:szCs w:val="32"/>
        </w:rPr>
        <w:t>（三）战略定位</w:t>
      </w:r>
      <w:bookmarkEnd w:id="9"/>
    </w:p>
    <w:p>
      <w:pPr>
        <w:ind w:firstLine="640"/>
      </w:pPr>
      <w:r>
        <w:rPr>
          <w:rFonts w:hint="eastAsia" w:eastAsia="方正黑体_GBK"/>
          <w:szCs w:val="22"/>
          <w:lang w:bidi="ar"/>
        </w:rPr>
        <w:t>总体定位：</w:t>
      </w:r>
      <w:r>
        <w:rPr>
          <w:rFonts w:hint="eastAsia" w:eastAsia="方正黑体_GBK"/>
        </w:rPr>
        <w:t>建设“中国先进制造业高质量发展示范城市”。</w:t>
      </w:r>
      <w:r>
        <w:rPr>
          <w:rFonts w:hint="eastAsia"/>
        </w:rPr>
        <w:t>即统筹推进“地标产业、重点产业和未来产业”高水平、高层次发展</w:t>
      </w:r>
      <w:r>
        <w:rPr>
          <w:rFonts w:hint="eastAsia"/>
          <w:szCs w:val="22"/>
        </w:rPr>
        <w:t>，</w:t>
      </w:r>
      <w:r>
        <w:rPr>
          <w:rFonts w:hint="eastAsia"/>
        </w:rPr>
        <w:t>打造具有无锡特色的地标性产业集群和优势产业链，构建自主可控、安全可靠的先进制造业体系，推动制造业向中高端迈出更大步伐，制造业高质量发展水平领跑全省、示范全国。</w:t>
      </w:r>
    </w:p>
    <w:p>
      <w:pPr>
        <w:ind w:firstLine="640"/>
        <w:rPr>
          <w:szCs w:val="32"/>
        </w:rPr>
      </w:pPr>
      <w:r>
        <w:rPr>
          <w:rFonts w:hint="eastAsia" w:eastAsia="方正黑体_GBK"/>
        </w:rPr>
        <w:t>具体定位：“一都二城三高地”。</w:t>
      </w:r>
      <w:r>
        <w:rPr>
          <w:rFonts w:hint="eastAsia"/>
        </w:rPr>
        <w:t>即建设“国际化先进制造之都、国际化新兴产业集聚名城、具有国际竞争力的产业创新名城、全国现代企业成长高地、全国绿色制造发展高地、全国制造业数字化转型发展高地”。</w:t>
      </w:r>
    </w:p>
    <w:p>
      <w:pPr>
        <w:ind w:firstLine="640"/>
        <w:outlineLvl w:val="1"/>
        <w:rPr>
          <w:rFonts w:eastAsia="方正楷体_GBK"/>
          <w:szCs w:val="32"/>
        </w:rPr>
      </w:pPr>
      <w:bookmarkStart w:id="10" w:name="_Toc80864438"/>
      <w:r>
        <w:rPr>
          <w:rFonts w:hint="eastAsia" w:eastAsia="方正楷体_GBK"/>
          <w:szCs w:val="32"/>
        </w:rPr>
        <w:t>（四）主要目标</w:t>
      </w:r>
      <w:bookmarkEnd w:id="10"/>
    </w:p>
    <w:p>
      <w:pPr>
        <w:pStyle w:val="2"/>
        <w:spacing w:after="0"/>
        <w:ind w:firstLine="640"/>
        <w:rPr>
          <w:rFonts w:eastAsia="方正黑体_GBK"/>
          <w:szCs w:val="32"/>
        </w:rPr>
      </w:pPr>
      <w:r>
        <w:rPr>
          <w:rFonts w:hint="eastAsia"/>
          <w:szCs w:val="32"/>
        </w:rPr>
        <w:t>到2</w:t>
      </w:r>
      <w:r>
        <w:rPr>
          <w:szCs w:val="32"/>
        </w:rPr>
        <w:t>025</w:t>
      </w:r>
      <w:r>
        <w:rPr>
          <w:rFonts w:hint="eastAsia"/>
          <w:szCs w:val="32"/>
        </w:rPr>
        <w:t>年，</w:t>
      </w:r>
      <w:r>
        <w:rPr>
          <w:rFonts w:hint="eastAsia" w:eastAsia="方正黑体_GBK"/>
          <w:szCs w:val="32"/>
        </w:rPr>
        <w:t>制造业在全市国民经济和社会发展中的支柱地位持续巩固，产业基础高级化、产业链现代化水平显著提升，制造业结构持续优化，新动能成为经济发展主引擎，初步构建起自主可控、安全可靠的现代产业体系和产业科技创新体系，基本建成具有国际竞争力的先进制造业基地和产业科技创新高地。</w:t>
      </w:r>
    </w:p>
    <w:p>
      <w:pPr>
        <w:pStyle w:val="2"/>
        <w:spacing w:after="0"/>
        <w:ind w:firstLine="640"/>
        <w:rPr>
          <w:szCs w:val="32"/>
        </w:rPr>
      </w:pPr>
      <w:r>
        <w:rPr>
          <w:rFonts w:hint="eastAsia"/>
          <w:szCs w:val="32"/>
        </w:rPr>
        <w:t>具体目标包括：</w:t>
      </w:r>
    </w:p>
    <w:p>
      <w:pPr>
        <w:widowControl/>
        <w:ind w:firstLine="640"/>
        <w:rPr>
          <w:szCs w:val="32"/>
        </w:rPr>
      </w:pPr>
      <w:r>
        <w:rPr>
          <w:rFonts w:hint="eastAsia"/>
          <w:szCs w:val="32"/>
        </w:rPr>
        <w:t>——</w:t>
      </w:r>
      <w:r>
        <w:rPr>
          <w:rFonts w:hint="eastAsia" w:eastAsia="方正楷体_GBK"/>
          <w:szCs w:val="32"/>
        </w:rPr>
        <w:t>规模效益好。</w:t>
      </w:r>
      <w:r>
        <w:rPr>
          <w:rFonts w:hint="eastAsia"/>
          <w:szCs w:val="32"/>
        </w:rPr>
        <w:t>到2025年，制造业对全市经济支撑作用持续发挥，制造业增加值占GDP的比重保持</w:t>
      </w:r>
      <w:r>
        <w:rPr>
          <w:rFonts w:hint="eastAsia"/>
          <w:szCs w:val="32"/>
          <w:lang w:eastAsia="zh-CN"/>
        </w:rPr>
        <w:t>基本稳定</w:t>
      </w:r>
      <w:r>
        <w:rPr>
          <w:rFonts w:hint="eastAsia"/>
          <w:szCs w:val="32"/>
        </w:rPr>
        <w:t>。整体效益进一步提升，规模以上工业增加值率达到25.0%左右，规模以上制造业全员劳动生产率超过40.0万元/人，规模以上制造业企业营业收入利润率达到7.0%。</w:t>
      </w:r>
    </w:p>
    <w:p>
      <w:pPr>
        <w:widowControl/>
        <w:ind w:firstLine="640"/>
        <w:rPr>
          <w:szCs w:val="32"/>
        </w:rPr>
      </w:pPr>
      <w:r>
        <w:rPr>
          <w:rFonts w:hint="eastAsia" w:eastAsia="方正楷体_GBK"/>
          <w:szCs w:val="32"/>
        </w:rPr>
        <w:t>——产业结构优</w:t>
      </w:r>
      <w:r>
        <w:rPr>
          <w:rFonts w:hint="eastAsia"/>
          <w:szCs w:val="32"/>
        </w:rPr>
        <w:t>。到</w:t>
      </w:r>
      <w:r>
        <w:rPr>
          <w:szCs w:val="32"/>
        </w:rPr>
        <w:t>2025</w:t>
      </w:r>
      <w:r>
        <w:rPr>
          <w:rFonts w:hint="eastAsia"/>
          <w:szCs w:val="32"/>
        </w:rPr>
        <w:t>年，基本构建起以先进制造业为主体的现代产业体系，工业企业技术改造投入占工业投资比重达6</w:t>
      </w:r>
      <w:r>
        <w:rPr>
          <w:szCs w:val="32"/>
        </w:rPr>
        <w:t>3</w:t>
      </w:r>
      <w:r>
        <w:rPr>
          <w:rFonts w:hint="eastAsia"/>
          <w:szCs w:val="32"/>
        </w:rPr>
        <w:t>%以上，工业战略性新兴产业产值占工业总产值比重达到</w:t>
      </w:r>
      <w:r>
        <w:rPr>
          <w:szCs w:val="32"/>
        </w:rPr>
        <w:t>42</w:t>
      </w:r>
      <w:r>
        <w:rPr>
          <w:rFonts w:hint="eastAsia"/>
          <w:szCs w:val="32"/>
        </w:rPr>
        <w:t>.0</w:t>
      </w:r>
      <w:r>
        <w:rPr>
          <w:szCs w:val="32"/>
        </w:rPr>
        <w:t>%</w:t>
      </w:r>
      <w:r>
        <w:rPr>
          <w:rFonts w:hint="eastAsia"/>
          <w:szCs w:val="32"/>
        </w:rPr>
        <w:t>以上，高新技术产业产值占工业总产值比重达到50.0%以上，制造业综合竞争力显著提升。</w:t>
      </w:r>
    </w:p>
    <w:p>
      <w:pPr>
        <w:ind w:firstLine="640"/>
        <w:rPr>
          <w:szCs w:val="32"/>
        </w:rPr>
      </w:pPr>
      <w:r>
        <w:rPr>
          <w:rFonts w:hint="eastAsia"/>
          <w:szCs w:val="32"/>
        </w:rPr>
        <w:t>——</w:t>
      </w:r>
      <w:r>
        <w:rPr>
          <w:rFonts w:hint="eastAsia" w:eastAsia="方正楷体_GBK"/>
          <w:szCs w:val="32"/>
        </w:rPr>
        <w:t>智造水平高</w:t>
      </w:r>
      <w:r>
        <w:rPr>
          <w:rFonts w:hint="eastAsia"/>
          <w:szCs w:val="32"/>
        </w:rPr>
        <w:t>。到</w:t>
      </w:r>
      <w:r>
        <w:rPr>
          <w:szCs w:val="32"/>
        </w:rPr>
        <w:t>2025</w:t>
      </w:r>
      <w:r>
        <w:rPr>
          <w:rFonts w:hint="eastAsia"/>
          <w:szCs w:val="32"/>
        </w:rPr>
        <w:t>年，全市制造业数字</w:t>
      </w:r>
      <w:r>
        <w:rPr>
          <w:szCs w:val="32"/>
        </w:rPr>
        <w:t>化发展水平</w:t>
      </w:r>
      <w:r>
        <w:rPr>
          <w:rFonts w:hint="eastAsia"/>
          <w:szCs w:val="32"/>
        </w:rPr>
        <w:t>得到全面深化，数字</w:t>
      </w:r>
      <w:r>
        <w:rPr>
          <w:szCs w:val="32"/>
        </w:rPr>
        <w:t>化转型</w:t>
      </w:r>
      <w:r>
        <w:rPr>
          <w:rFonts w:hint="eastAsia"/>
          <w:szCs w:val="32"/>
        </w:rPr>
        <w:t>标杆累计达到</w:t>
      </w:r>
      <w:r>
        <w:rPr>
          <w:szCs w:val="32"/>
        </w:rPr>
        <w:t>3500</w:t>
      </w:r>
      <w:r>
        <w:rPr>
          <w:rFonts w:hint="eastAsia"/>
          <w:szCs w:val="32"/>
        </w:rPr>
        <w:t>家，系统集成商能力不断增强，培育优秀智能制造服务商100家，规上工</w:t>
      </w:r>
      <w:r>
        <w:rPr>
          <w:szCs w:val="32"/>
        </w:rPr>
        <w:t>业</w:t>
      </w:r>
      <w:r>
        <w:rPr>
          <w:rFonts w:hint="eastAsia"/>
          <w:szCs w:val="32"/>
        </w:rPr>
        <w:t>企业智能制造能力成熟度等级二级及以上的企业占比达到50.0%，整体智造水平显著提高。</w:t>
      </w:r>
    </w:p>
    <w:p>
      <w:pPr>
        <w:ind w:firstLine="640"/>
        <w:rPr>
          <w:szCs w:val="32"/>
        </w:rPr>
      </w:pPr>
      <w:r>
        <w:rPr>
          <w:rFonts w:hint="eastAsia"/>
          <w:szCs w:val="32"/>
        </w:rPr>
        <w:t>——</w:t>
      </w:r>
      <w:r>
        <w:rPr>
          <w:rFonts w:hint="eastAsia" w:eastAsia="方正楷体_GBK"/>
          <w:szCs w:val="32"/>
        </w:rPr>
        <w:t>创新驱动足</w:t>
      </w:r>
      <w:r>
        <w:rPr>
          <w:rFonts w:hint="eastAsia"/>
          <w:szCs w:val="32"/>
        </w:rPr>
        <w:t>。到</w:t>
      </w:r>
      <w:r>
        <w:rPr>
          <w:szCs w:val="32"/>
        </w:rPr>
        <w:t>2025</w:t>
      </w:r>
      <w:r>
        <w:rPr>
          <w:rFonts w:hint="eastAsia"/>
          <w:szCs w:val="32"/>
        </w:rPr>
        <w:t>年，全市国家级高新技术企业突破</w:t>
      </w:r>
      <w:r>
        <w:rPr>
          <w:rFonts w:hint="eastAsia"/>
          <w:szCs w:val="32"/>
          <w:highlight w:val="none"/>
        </w:rPr>
        <w:t>8000家</w:t>
      </w:r>
      <w:r>
        <w:rPr>
          <w:rFonts w:hint="eastAsia"/>
          <w:szCs w:val="32"/>
        </w:rPr>
        <w:t>，规上工业企业</w:t>
      </w:r>
      <w:r>
        <w:rPr>
          <w:szCs w:val="32"/>
        </w:rPr>
        <w:t>R&amp;D</w:t>
      </w:r>
      <w:r>
        <w:rPr>
          <w:rFonts w:hint="eastAsia"/>
          <w:szCs w:val="32"/>
        </w:rPr>
        <w:t>经费投入强度达到</w:t>
      </w:r>
      <w:r>
        <w:rPr>
          <w:szCs w:val="32"/>
        </w:rPr>
        <w:t>2.5%</w:t>
      </w:r>
      <w:r>
        <w:rPr>
          <w:rFonts w:hint="eastAsia"/>
          <w:szCs w:val="32"/>
        </w:rPr>
        <w:t>，</w:t>
      </w:r>
      <w:r>
        <w:rPr>
          <w:rFonts w:hint="eastAsia"/>
        </w:rPr>
        <w:t>每10亿元地区生产总值高价值发明专利拥有量达15件</w:t>
      </w:r>
      <w:r>
        <w:rPr>
          <w:rFonts w:hint="eastAsia"/>
          <w:szCs w:val="32"/>
        </w:rPr>
        <w:t>，在若干领域成为技术创新、标准引领的策源地，</w:t>
      </w:r>
      <w:r>
        <w:rPr>
          <w:rFonts w:hint="eastAsia"/>
        </w:rPr>
        <w:t>基本建成具有国际竞争力的产业创新名城。</w:t>
      </w:r>
    </w:p>
    <w:p>
      <w:pPr>
        <w:ind w:firstLine="640"/>
        <w:rPr>
          <w:szCs w:val="32"/>
        </w:rPr>
      </w:pPr>
      <w:r>
        <w:rPr>
          <w:rFonts w:hint="eastAsia"/>
          <w:szCs w:val="32"/>
        </w:rPr>
        <w:t>——</w:t>
      </w:r>
      <w:r>
        <w:rPr>
          <w:rFonts w:hint="eastAsia" w:eastAsia="方正楷体_GBK"/>
          <w:szCs w:val="32"/>
        </w:rPr>
        <w:t>企业实力强</w:t>
      </w:r>
      <w:r>
        <w:rPr>
          <w:rFonts w:hint="eastAsia"/>
          <w:szCs w:val="32"/>
        </w:rPr>
        <w:t>。到</w:t>
      </w:r>
      <w:r>
        <w:rPr>
          <w:szCs w:val="32"/>
        </w:rPr>
        <w:t>2025</w:t>
      </w:r>
      <w:r>
        <w:rPr>
          <w:rFonts w:hint="eastAsia"/>
          <w:szCs w:val="32"/>
        </w:rPr>
        <w:t>年，新增一批具有国际影响力的世界级领军企业，</w:t>
      </w:r>
      <w:r>
        <w:rPr>
          <w:szCs w:val="32"/>
        </w:rPr>
        <w:t>A</w:t>
      </w:r>
      <w:r>
        <w:rPr>
          <w:rFonts w:hint="eastAsia"/>
          <w:szCs w:val="32"/>
        </w:rPr>
        <w:t>股上市公司数量超过</w:t>
      </w:r>
      <w:r>
        <w:rPr>
          <w:szCs w:val="32"/>
        </w:rPr>
        <w:t>150</w:t>
      </w:r>
      <w:r>
        <w:rPr>
          <w:rFonts w:hint="eastAsia"/>
          <w:szCs w:val="32"/>
        </w:rPr>
        <w:t>家，营收超百亿元工业企业达4</w:t>
      </w:r>
      <w:r>
        <w:rPr>
          <w:szCs w:val="32"/>
        </w:rPr>
        <w:t>5</w:t>
      </w:r>
      <w:r>
        <w:rPr>
          <w:rFonts w:hint="eastAsia"/>
          <w:szCs w:val="32"/>
        </w:rPr>
        <w:t>家左右。隐形冠军、专精特新小巨人企业对产业链细分领域的控制力不断增强，省级以上单项冠军企业数量累计达15家以上，新增省级以上专精特新小巨人企业</w:t>
      </w:r>
      <w:r>
        <w:rPr>
          <w:szCs w:val="32"/>
        </w:rPr>
        <w:t>200</w:t>
      </w:r>
      <w:r>
        <w:rPr>
          <w:rFonts w:hint="eastAsia"/>
          <w:szCs w:val="32"/>
        </w:rPr>
        <w:t>家。</w:t>
      </w:r>
    </w:p>
    <w:p>
      <w:pPr>
        <w:spacing w:after="156" w:afterLines="50"/>
        <w:ind w:firstLine="640"/>
        <w:rPr>
          <w:rFonts w:hint="eastAsia"/>
          <w:szCs w:val="32"/>
        </w:rPr>
      </w:pPr>
      <w:r>
        <w:rPr>
          <w:rFonts w:hint="eastAsia"/>
          <w:szCs w:val="32"/>
        </w:rPr>
        <w:t>——</w:t>
      </w:r>
      <w:r>
        <w:rPr>
          <w:rFonts w:hint="eastAsia" w:eastAsia="方正楷体_GBK"/>
          <w:szCs w:val="32"/>
        </w:rPr>
        <w:t>绿色程度高</w:t>
      </w:r>
      <w:r>
        <w:rPr>
          <w:rFonts w:hint="eastAsia"/>
          <w:szCs w:val="32"/>
        </w:rPr>
        <w:t>。到</w:t>
      </w:r>
      <w:r>
        <w:rPr>
          <w:szCs w:val="32"/>
        </w:rPr>
        <w:t>2025</w:t>
      </w:r>
      <w:r>
        <w:rPr>
          <w:rFonts w:hint="eastAsia"/>
          <w:szCs w:val="32"/>
        </w:rPr>
        <w:t>年，</w:t>
      </w:r>
      <w:r>
        <w:rPr>
          <w:rFonts w:hint="eastAsia" w:cstheme="minorBidi"/>
          <w:szCs w:val="32"/>
        </w:rPr>
        <w:t>制造业资源要素利用更加集约高效，绿色制造得到全面推广，重点行业绿色安全发展水平显著提高</w:t>
      </w:r>
      <w:r>
        <w:rPr>
          <w:rFonts w:hint="eastAsia"/>
          <w:szCs w:val="32"/>
        </w:rPr>
        <w:t>。全市工业用地亩均税收（剔除减税降费因素）增长</w:t>
      </w:r>
      <w:r>
        <w:rPr>
          <w:szCs w:val="32"/>
        </w:rPr>
        <w:t>10%</w:t>
      </w:r>
      <w:r>
        <w:rPr>
          <w:rFonts w:hint="eastAsia"/>
          <w:szCs w:val="32"/>
        </w:rPr>
        <w:t>以上，全市单位工业增加值能耗、单位工业增加值CO2排放量显著下降。</w:t>
      </w:r>
    </w:p>
    <w:p>
      <w:pPr>
        <w:pStyle w:val="2"/>
      </w:pPr>
    </w:p>
    <w:bookmarkEnd w:id="0"/>
    <w:bookmarkEnd w:id="1"/>
    <w:p>
      <w:pPr>
        <w:spacing w:before="156" w:beforeLines="50"/>
        <w:ind w:firstLine="640"/>
        <w:outlineLvl w:val="0"/>
        <w:rPr>
          <w:rFonts w:eastAsia="方正黑体_GBK"/>
          <w:szCs w:val="32"/>
        </w:rPr>
      </w:pPr>
      <w:bookmarkStart w:id="11" w:name="_Toc80864439"/>
      <w:bookmarkStart w:id="12" w:name="_Toc61818193"/>
      <w:bookmarkStart w:id="13" w:name="_Toc71735065"/>
      <w:r>
        <w:rPr>
          <w:rFonts w:hint="eastAsia" w:eastAsia="方正黑体_GBK"/>
          <w:szCs w:val="32"/>
        </w:rPr>
        <w:t>三、发展重点</w:t>
      </w:r>
      <w:bookmarkEnd w:id="11"/>
    </w:p>
    <w:p>
      <w:pPr>
        <w:ind w:firstLine="640"/>
        <w:outlineLvl w:val="1"/>
        <w:rPr>
          <w:rFonts w:eastAsia="方正楷体_GBK"/>
          <w:szCs w:val="32"/>
        </w:rPr>
      </w:pPr>
      <w:bookmarkStart w:id="14" w:name="_Toc80864440"/>
      <w:r>
        <w:rPr>
          <w:rFonts w:hint="eastAsia" w:eastAsia="方正楷体_GBK"/>
          <w:szCs w:val="32"/>
        </w:rPr>
        <w:t>（一）全力打造地标产业</w:t>
      </w:r>
      <w:bookmarkEnd w:id="14"/>
    </w:p>
    <w:p>
      <w:pPr>
        <w:ind w:firstLine="640"/>
      </w:pPr>
      <w:r>
        <w:rPr>
          <w:rFonts w:hint="eastAsia"/>
        </w:rPr>
        <w:t>聚焦无锡特色优势产业，聚力物联网、集成电路、生物医药及医疗器械（材）、软件和信息服务业、“两机”，全力打造具有国际影响力和竞争力的地标产业。</w:t>
      </w:r>
    </w:p>
    <w:p>
      <w:pPr>
        <w:tabs>
          <w:tab w:val="left" w:pos="1005"/>
        </w:tabs>
        <w:ind w:firstLine="640"/>
        <w:outlineLvl w:val="2"/>
        <w:rPr>
          <w:rFonts w:cs="仿宋"/>
          <w:szCs w:val="32"/>
        </w:rPr>
      </w:pPr>
      <w:bookmarkStart w:id="15" w:name="_Toc80864441"/>
      <w:bookmarkStart w:id="16" w:name="_Toc80792906"/>
      <w:r>
        <w:rPr>
          <w:rFonts w:hint="eastAsia" w:cs="仿宋"/>
          <w:szCs w:val="32"/>
        </w:rPr>
        <w:t xml:space="preserve">1. </w:t>
      </w:r>
      <w:r>
        <w:rPr>
          <w:rFonts w:hint="eastAsia" w:eastAsia="方正楷体_GBK" w:cs="仿宋"/>
          <w:szCs w:val="32"/>
        </w:rPr>
        <w:t>物联网产业</w:t>
      </w:r>
      <w:bookmarkEnd w:id="15"/>
      <w:bookmarkEnd w:id="16"/>
    </w:p>
    <w:p>
      <w:pPr>
        <w:adjustRightInd w:val="0"/>
        <w:snapToGrid w:val="0"/>
        <w:ind w:firstLine="640"/>
        <w:rPr>
          <w:rFonts w:cs="方正仿宋_GBK"/>
          <w:szCs w:val="32"/>
        </w:rPr>
      </w:pPr>
      <w:r>
        <w:rPr>
          <w:rFonts w:hint="eastAsia" w:cs="方正仿宋_GBK"/>
          <w:szCs w:val="32"/>
        </w:rPr>
        <w:t>以无锡国家传感网创新示范区新一轮发展规划纲要为统领，瞄准世界级产业集群目标，持续夯实以新吴区为核心，滨湖区、梁溪区等为重点的“一核多元”产业发展格局。围绕智能传感器、系统集成等产业链核心环节，依托江苏物联网创新中心等创新载体，加快开展关键核心技术和行业标准研发攻关，加强物联网与人工智能、大数据、区块链等技术的融合应用，扩大在工业、车联网与智慧交通、信息消费等领域的规模化应用，持续提升产业数字化、生活智慧化、治理智能化水平。突出市场化、专业化方向，办好世界物联网博览会，持续营造良好的物联网产业生态，打造核心技术世界领先、产业配套完整、龙头企业影响力大的物联网地标产业。力争到2025年，产业规模突破5000亿元。</w:t>
      </w:r>
    </w:p>
    <w:p>
      <w:pPr>
        <w:tabs>
          <w:tab w:val="left" w:pos="1005"/>
        </w:tabs>
        <w:ind w:firstLine="640"/>
        <w:outlineLvl w:val="2"/>
        <w:rPr>
          <w:rFonts w:cs="仿宋"/>
          <w:szCs w:val="32"/>
        </w:rPr>
      </w:pPr>
      <w:bookmarkStart w:id="17" w:name="_Toc80864442"/>
      <w:bookmarkStart w:id="18" w:name="_Toc80792907"/>
      <w:r>
        <w:rPr>
          <w:rFonts w:hint="eastAsia" w:cs="方正仿宋_GBK"/>
          <w:szCs w:val="32"/>
        </w:rPr>
        <w:t xml:space="preserve">2. </w:t>
      </w:r>
      <w:r>
        <w:rPr>
          <w:rFonts w:hint="eastAsia" w:eastAsia="方正楷体_GBK" w:cs="仿宋"/>
          <w:szCs w:val="32"/>
        </w:rPr>
        <w:t>集成电路产业</w:t>
      </w:r>
      <w:bookmarkEnd w:id="17"/>
      <w:bookmarkEnd w:id="18"/>
    </w:p>
    <w:p>
      <w:pPr>
        <w:tabs>
          <w:tab w:val="left" w:pos="1005"/>
        </w:tabs>
        <w:ind w:firstLine="640"/>
        <w:rPr>
          <w:bCs/>
          <w:szCs w:val="32"/>
        </w:rPr>
      </w:pPr>
      <w:r>
        <w:rPr>
          <w:rFonts w:hint="eastAsia" w:cs="方正仿宋_GBK"/>
          <w:szCs w:val="32"/>
        </w:rPr>
        <w:t>聚焦芯片设计、晶圆制造、高端封测、装备材料等关键核心领域，推动全市集成电路产业链向高端攀升，以</w:t>
      </w:r>
      <w:r>
        <w:rPr>
          <w:rFonts w:hint="eastAsia" w:cs="仿宋"/>
          <w:szCs w:val="32"/>
        </w:rPr>
        <w:t>国家集成电路特色工艺及封装测试创新中心、国家“芯火”双创基地（平台）等国家级平台为引领，推动产业链与创新链深度融合。</w:t>
      </w:r>
      <w:r>
        <w:rPr>
          <w:rFonts w:hint="eastAsia" w:cs="方正仿宋_GBK"/>
          <w:szCs w:val="32"/>
        </w:rPr>
        <w:t>以新吴区为核心建设综合发展区；滨湖区、经开区、梁溪区瞄准物联网、5</w:t>
      </w:r>
      <w:r>
        <w:rPr>
          <w:rFonts w:cs="方正仿宋_GBK"/>
          <w:szCs w:val="32"/>
        </w:rPr>
        <w:t>G等</w:t>
      </w:r>
      <w:r>
        <w:rPr>
          <w:rFonts w:hint="eastAsia" w:cs="方正仿宋_GBK"/>
          <w:szCs w:val="32"/>
        </w:rPr>
        <w:t>领域，建设芯片设计创新区；锡山区、惠山区加快推进</w:t>
      </w:r>
      <w:r>
        <w:rPr>
          <w:rFonts w:cs="方正仿宋_GBK"/>
          <w:szCs w:val="32"/>
        </w:rPr>
        <w:t>集成电路制造及专用</w:t>
      </w:r>
      <w:r>
        <w:rPr>
          <w:rFonts w:hint="eastAsia" w:cs="方正仿宋_GBK"/>
          <w:szCs w:val="32"/>
        </w:rPr>
        <w:t>装备研发、生产；江阴市、宜兴市发扬高端封测、关键材料长板，带动一批企业集聚发展。</w:t>
      </w:r>
      <w:r>
        <w:rPr>
          <w:rFonts w:cs="仿宋"/>
          <w:szCs w:val="32"/>
        </w:rPr>
        <w:t>探索建设集成电路国际供应链创新示范区，</w:t>
      </w:r>
      <w:r>
        <w:rPr>
          <w:rFonts w:hint="eastAsia"/>
        </w:rPr>
        <w:t>打造自主创新能力世界一流、具有国际品牌影响力和产业链话语权的集成电路地标产业。</w:t>
      </w:r>
      <w:r>
        <w:rPr>
          <w:rFonts w:hint="eastAsia" w:cs="仿宋"/>
          <w:szCs w:val="32"/>
        </w:rPr>
        <w:t>力争到2025年，集成电路“核心主业”规模突破2000亿元。</w:t>
      </w:r>
    </w:p>
    <w:p>
      <w:pPr>
        <w:ind w:firstLine="640"/>
        <w:contextualSpacing/>
        <w:outlineLvl w:val="2"/>
        <w:rPr>
          <w:color w:val="000000"/>
          <w:szCs w:val="32"/>
        </w:rPr>
      </w:pPr>
      <w:bookmarkStart w:id="19" w:name="_Toc80864443"/>
      <w:bookmarkStart w:id="20" w:name="_Toc80792908"/>
      <w:r>
        <w:rPr>
          <w:rFonts w:hint="eastAsia"/>
        </w:rPr>
        <w:t xml:space="preserve">3. </w:t>
      </w:r>
      <w:r>
        <w:rPr>
          <w:rFonts w:hint="eastAsia" w:eastAsia="方正楷体_GBK"/>
        </w:rPr>
        <w:t>生物医药</w:t>
      </w:r>
      <w:r>
        <w:rPr>
          <w:rFonts w:hint="eastAsia" w:eastAsia="方正楷体_GBK"/>
          <w:color w:val="000000"/>
          <w:szCs w:val="32"/>
        </w:rPr>
        <w:t>及医疗器械（材）产业</w:t>
      </w:r>
      <w:bookmarkEnd w:id="19"/>
      <w:bookmarkEnd w:id="20"/>
    </w:p>
    <w:p>
      <w:pPr>
        <w:ind w:firstLine="640"/>
        <w:contextualSpacing/>
        <w:rPr>
          <w:bCs/>
          <w:szCs w:val="32"/>
        </w:rPr>
      </w:pPr>
      <w:r>
        <w:rPr>
          <w:rFonts w:hint="eastAsia"/>
          <w:bCs/>
          <w:szCs w:val="32"/>
        </w:rPr>
        <w:t>加强全市医药产业跨区融合，形成以江阴市、新吴区、滨湖区、惠山区为重点，锡山区、宜兴市联动的发展格局。依托无锡国际生命科学创新园、马山（国家）生命科学园、无锡（惠山）生命科技产业园、江阴现代中药及生物医药科技产业园等核心载体，聚焦化学药、生物药、现代中药、医药研发合同外包服务（CRO）、高端医疗器械等领域，积极打造国际领先的创新药发现、健康食品两大创新策源中心，建设国内一流的高端医疗器械、精准医疗、数字医疗三大产业创新集聚中心。打造长三角区域乃至全国产业特色鲜明、研发创新活跃、制造实力雄厚的生物医药及医疗器械（材）产业地标。力争到2025年，产业规模超2500亿元。</w:t>
      </w:r>
    </w:p>
    <w:p>
      <w:pPr>
        <w:pStyle w:val="2"/>
        <w:spacing w:after="0"/>
        <w:ind w:firstLine="640"/>
        <w:contextualSpacing/>
        <w:outlineLvl w:val="2"/>
        <w:rPr>
          <w:rFonts w:cs="仿宋"/>
          <w:szCs w:val="32"/>
        </w:rPr>
      </w:pPr>
      <w:bookmarkStart w:id="21" w:name="_Toc80864444"/>
      <w:bookmarkStart w:id="22" w:name="_Toc80792909"/>
      <w:r>
        <w:rPr>
          <w:rFonts w:hint="eastAsia" w:cs="仿宋"/>
          <w:szCs w:val="32"/>
        </w:rPr>
        <w:t xml:space="preserve">4. </w:t>
      </w:r>
      <w:r>
        <w:rPr>
          <w:rFonts w:hint="eastAsia" w:eastAsia="方正楷体_GBK" w:cs="仿宋"/>
          <w:szCs w:val="32"/>
        </w:rPr>
        <w:t>软件与信息技术服务业</w:t>
      </w:r>
      <w:bookmarkEnd w:id="21"/>
      <w:bookmarkEnd w:id="22"/>
    </w:p>
    <w:p>
      <w:pPr>
        <w:pStyle w:val="2"/>
        <w:spacing w:after="0"/>
        <w:ind w:firstLine="640"/>
        <w:contextualSpacing/>
        <w:rPr>
          <w:rFonts w:cs="仿宋"/>
          <w:szCs w:val="32"/>
        </w:rPr>
      </w:pPr>
      <w:r>
        <w:rPr>
          <w:rFonts w:hint="eastAsia" w:cs="方正仿宋_GBK"/>
          <w:szCs w:val="32"/>
        </w:rPr>
        <w:t>以新吴区、滨湖区和惠山区为重点区域，聚焦关键基础软件、工业软件、信息安全软件、行业应用软件及信息技术服务等核心领域，加快构筑标准、开放、高效的技术创新体系和安全、自主、可控的软件产业生态体系。高水平建设无锡软件名园，培育一批具有核心关键技术的名企和自主知识产权的名品，将无锡打造成为江苏省软件产业高地、长三角软件业创新发展示范城市、物联网和平台特色型中国软件名城。力争到</w:t>
      </w:r>
      <w:r>
        <w:rPr>
          <w:rFonts w:cs="方正仿宋_GBK"/>
          <w:szCs w:val="32"/>
        </w:rPr>
        <w:t>2025</w:t>
      </w:r>
      <w:r>
        <w:rPr>
          <w:rFonts w:hint="eastAsia" w:cs="方正仿宋_GBK"/>
          <w:szCs w:val="32"/>
        </w:rPr>
        <w:t>年，产业规模突破</w:t>
      </w:r>
      <w:r>
        <w:rPr>
          <w:rFonts w:cs="方正仿宋_GBK"/>
          <w:szCs w:val="32"/>
        </w:rPr>
        <w:t>2000</w:t>
      </w:r>
      <w:r>
        <w:rPr>
          <w:rFonts w:hint="eastAsia" w:cs="方正仿宋_GBK"/>
          <w:szCs w:val="32"/>
        </w:rPr>
        <w:t>亿元。</w:t>
      </w:r>
    </w:p>
    <w:p>
      <w:pPr>
        <w:pStyle w:val="2"/>
        <w:spacing w:after="0"/>
        <w:ind w:firstLine="640"/>
        <w:outlineLvl w:val="2"/>
        <w:rPr>
          <w:rFonts w:cs="仿宋"/>
          <w:szCs w:val="32"/>
        </w:rPr>
      </w:pPr>
      <w:bookmarkStart w:id="23" w:name="_Toc80864445"/>
      <w:bookmarkStart w:id="24" w:name="_Toc80792910"/>
      <w:r>
        <w:rPr>
          <w:rFonts w:hint="eastAsia" w:cs="仿宋"/>
          <w:szCs w:val="32"/>
        </w:rPr>
        <w:t>5.</w:t>
      </w:r>
      <w:r>
        <w:rPr>
          <w:rFonts w:hint="eastAsia" w:eastAsia="方正楷体_GBK" w:cs="仿宋"/>
          <w:szCs w:val="32"/>
        </w:rPr>
        <w:t>“两机”（航空发动机和燃气轮机）产业</w:t>
      </w:r>
      <w:bookmarkEnd w:id="23"/>
      <w:bookmarkEnd w:id="24"/>
    </w:p>
    <w:p>
      <w:pPr>
        <w:pStyle w:val="2"/>
        <w:spacing w:after="0"/>
        <w:ind w:firstLine="640"/>
        <w:rPr>
          <w:rFonts w:eastAsia="方正楷体_GBK"/>
          <w:szCs w:val="32"/>
        </w:rPr>
      </w:pPr>
      <w:r>
        <w:rPr>
          <w:rFonts w:hint="eastAsia" w:cs="仿宋"/>
          <w:color w:val="000000"/>
          <w:szCs w:val="32"/>
        </w:rPr>
        <w:t>大力推动无锡“两机”核心部件及控制系统产业园、惠山航空航天产业园等特色载体建设，依托相关科研机构和大中院校等研发平台，以国家战略性应用为引领，积极参与大飞机、“两机”等国家重大科技专项攻关，提升自主研发能力。以锡山区、惠山区、滨湖区、新吴区为重点区域，进一步巩固无锡在原材料、关键零部件制造等环节的领先优势，招引孵化整机制造企业，延伸发展配套维修服务，打造完整的“两机”产业链，建设自主创新能力强、高端产品特色鲜明、国内领先的“两机”产业地标。力争到2025年，产业规模突破150亿元，制造水平国内领先、国际一流。</w:t>
      </w:r>
    </w:p>
    <w:p>
      <w:pPr>
        <w:ind w:firstLine="640"/>
        <w:outlineLvl w:val="1"/>
        <w:rPr>
          <w:rFonts w:eastAsia="方正楷体_GBK"/>
          <w:szCs w:val="32"/>
        </w:rPr>
      </w:pPr>
      <w:bookmarkStart w:id="25" w:name="_Toc80864446"/>
      <w:r>
        <w:rPr>
          <w:rFonts w:hint="eastAsia" w:eastAsia="方正楷体_GBK"/>
          <w:szCs w:val="32"/>
        </w:rPr>
        <w:t>（二）做大做强重点产业</w:t>
      </w:r>
      <w:bookmarkEnd w:id="25"/>
    </w:p>
    <w:p>
      <w:pPr>
        <w:tabs>
          <w:tab w:val="left" w:pos="1005"/>
        </w:tabs>
        <w:ind w:firstLine="640"/>
        <w:rPr>
          <w:rFonts w:cs="仿宋"/>
          <w:szCs w:val="32"/>
        </w:rPr>
      </w:pPr>
      <w:r>
        <w:rPr>
          <w:rFonts w:hint="eastAsia" w:cs="仿宋"/>
          <w:szCs w:val="32"/>
        </w:rPr>
        <w:t>聚焦高端纺织服装、高端装备、节能环保、特色新材料、新能源、汽车及零部件、云计算和大数据等领域，着力打造具有国内影响力的重点产业集群。</w:t>
      </w:r>
    </w:p>
    <w:p>
      <w:pPr>
        <w:tabs>
          <w:tab w:val="left" w:pos="1005"/>
        </w:tabs>
        <w:ind w:firstLine="640"/>
        <w:outlineLvl w:val="2"/>
        <w:rPr>
          <w:rFonts w:cs="仿宋"/>
          <w:szCs w:val="32"/>
        </w:rPr>
      </w:pPr>
      <w:bookmarkStart w:id="26" w:name="_Toc80864447"/>
      <w:bookmarkStart w:id="27" w:name="_Toc80792912"/>
      <w:r>
        <w:rPr>
          <w:rFonts w:hint="eastAsia" w:cs="仿宋"/>
          <w:szCs w:val="32"/>
        </w:rPr>
        <w:t xml:space="preserve">1. </w:t>
      </w:r>
      <w:r>
        <w:rPr>
          <w:rFonts w:hint="eastAsia" w:eastAsia="方正楷体_GBK" w:cs="仿宋"/>
          <w:szCs w:val="32"/>
        </w:rPr>
        <w:t>高端纺织服装产业</w:t>
      </w:r>
      <w:bookmarkEnd w:id="26"/>
      <w:bookmarkEnd w:id="27"/>
    </w:p>
    <w:p>
      <w:pPr>
        <w:keepNext w:val="0"/>
        <w:keepLines w:val="0"/>
        <w:pageBreakBefore w:val="0"/>
        <w:widowControl/>
        <w:kinsoku/>
        <w:wordWrap/>
        <w:overflowPunct/>
        <w:topLinePunct w:val="0"/>
        <w:autoSpaceDE/>
        <w:autoSpaceDN/>
        <w:bidi w:val="0"/>
        <w:adjustRightInd/>
        <w:snapToGrid/>
        <w:ind w:firstLine="640"/>
        <w:textAlignment w:val="auto"/>
        <w:rPr>
          <w:rFonts w:cs="方正仿宋_GBK"/>
          <w:szCs w:val="32"/>
        </w:rPr>
      </w:pPr>
      <w:r>
        <w:rPr>
          <w:rFonts w:hint="eastAsia" w:cs="方正仿宋_GBK"/>
          <w:szCs w:val="32"/>
        </w:rPr>
        <w:t>以江阴市、宜兴市、锡山区为重点区域，依托江阴市新桥镇阳光工业园、江阴市新桥镇海澜工业园、宜兴市经济开发区、锡山经济开发区、红豆工业城、红豆西哈努克港经济特区工业园等核心载体以及中国纺织材料交易中心等具有国际影响力的交易平台，</w:t>
      </w:r>
      <w:r>
        <w:rPr>
          <w:rFonts w:cs="方正仿宋_GBK"/>
          <w:color w:val="000000"/>
          <w:kern w:val="0"/>
          <w:szCs w:val="32"/>
          <w:lang w:bidi="ar"/>
        </w:rPr>
        <w:t>聚焦纺织纤维新材料研发、先进</w:t>
      </w:r>
      <w:r>
        <w:rPr>
          <w:rFonts w:hint="eastAsia" w:cs="方正仿宋_GBK"/>
          <w:color w:val="000000"/>
          <w:kern w:val="0"/>
          <w:szCs w:val="32"/>
          <w:lang w:bidi="ar"/>
        </w:rPr>
        <w:t>纺织制品开发、创意设计、品牌提升等高附加值环节，大力发展高品质品牌服装、功能性高档家纺、功能性纺织品、智能纺织品、产业用纺织品，突破高性能纤维、纺织绿色加工、再生纤维等技术，</w:t>
      </w:r>
      <w:r>
        <w:rPr>
          <w:rFonts w:hint="eastAsia" w:cs="方正仿宋_GBK"/>
          <w:szCs w:val="32"/>
        </w:rPr>
        <w:t>打造自主品牌国际影响力大、深度融入双循环新格局的高端纺织服装产业集群。力争到2025年，产业规模突破2000亿元。</w:t>
      </w:r>
    </w:p>
    <w:p>
      <w:pPr>
        <w:keepNext w:val="0"/>
        <w:keepLines w:val="0"/>
        <w:pageBreakBefore w:val="0"/>
        <w:kinsoku/>
        <w:wordWrap/>
        <w:overflowPunct/>
        <w:topLinePunct w:val="0"/>
        <w:autoSpaceDE/>
        <w:autoSpaceDN/>
        <w:bidi w:val="0"/>
        <w:adjustRightInd/>
        <w:snapToGrid/>
        <w:ind w:firstLine="640"/>
        <w:contextualSpacing/>
        <w:textAlignment w:val="auto"/>
        <w:outlineLvl w:val="2"/>
        <w:rPr>
          <w:rFonts w:cs="仿宋"/>
          <w:szCs w:val="32"/>
        </w:rPr>
      </w:pPr>
      <w:bookmarkStart w:id="28" w:name="_Toc80792913"/>
      <w:bookmarkStart w:id="29" w:name="_Toc80864448"/>
      <w:r>
        <w:rPr>
          <w:rFonts w:hint="eastAsia" w:cs="仿宋"/>
          <w:szCs w:val="32"/>
        </w:rPr>
        <w:t>2.</w:t>
      </w:r>
      <w:r>
        <w:rPr>
          <w:rFonts w:hint="eastAsia" w:eastAsia="方正楷体_GBK" w:cs="仿宋"/>
          <w:szCs w:val="32"/>
        </w:rPr>
        <w:t xml:space="preserve"> 高端装备产业</w:t>
      </w:r>
      <w:bookmarkEnd w:id="28"/>
      <w:bookmarkEnd w:id="29"/>
    </w:p>
    <w:p>
      <w:pPr>
        <w:keepNext w:val="0"/>
        <w:keepLines w:val="0"/>
        <w:pageBreakBefore w:val="0"/>
        <w:kinsoku/>
        <w:wordWrap/>
        <w:overflowPunct/>
        <w:topLinePunct w:val="0"/>
        <w:autoSpaceDE/>
        <w:autoSpaceDN/>
        <w:bidi w:val="0"/>
        <w:adjustRightInd/>
        <w:snapToGrid/>
        <w:ind w:firstLine="640"/>
        <w:contextualSpacing/>
        <w:textAlignment w:val="auto"/>
        <w:rPr>
          <w:rFonts w:cs="仿宋"/>
          <w:szCs w:val="32"/>
          <w:highlight w:val="yellow"/>
        </w:rPr>
      </w:pPr>
      <w:r>
        <w:rPr>
          <w:rFonts w:hint="eastAsia" w:cs="仿宋"/>
          <w:szCs w:val="32"/>
        </w:rPr>
        <w:t>以江阴市、锡山区、惠山区、滨湖区、新吴区为重点区域，</w:t>
      </w:r>
      <w:r>
        <w:rPr>
          <w:rFonts w:hint="eastAsia"/>
          <w:szCs w:val="32"/>
        </w:rPr>
        <w:t>以智能化、成套化、服务化为主攻方向，依托华中科技大学无锡研究院、国家</w:t>
      </w:r>
      <w:r>
        <w:rPr>
          <w:szCs w:val="32"/>
        </w:rPr>
        <w:t>数字化</w:t>
      </w:r>
      <w:r>
        <w:rPr>
          <w:rFonts w:hint="eastAsia"/>
          <w:szCs w:val="32"/>
        </w:rPr>
        <w:t>设计</w:t>
      </w:r>
      <w:r>
        <w:rPr>
          <w:szCs w:val="32"/>
        </w:rPr>
        <w:t>与制造创新中心江苏</w:t>
      </w:r>
      <w:r>
        <w:rPr>
          <w:rFonts w:hint="eastAsia"/>
          <w:szCs w:val="32"/>
        </w:rPr>
        <w:t>中心、江南大学无锡智能制造协同创新中心等创新平台，聚焦重大成套设备、智能测控装备、智能关键基础零部件等重点领域，打造专业化水平</w:t>
      </w:r>
      <w:r>
        <w:rPr>
          <w:szCs w:val="32"/>
        </w:rPr>
        <w:t>高</w:t>
      </w:r>
      <w:r>
        <w:rPr>
          <w:rFonts w:hint="eastAsia"/>
          <w:szCs w:val="32"/>
        </w:rPr>
        <w:t>、品牌影响力大的高端装备产业集群。</w:t>
      </w:r>
      <w:r>
        <w:rPr>
          <w:rFonts w:cs="仿宋"/>
          <w:szCs w:val="32"/>
        </w:rPr>
        <w:t>力争到2025年，产业规模突破1500亿元。</w:t>
      </w:r>
    </w:p>
    <w:p>
      <w:pPr>
        <w:keepNext w:val="0"/>
        <w:keepLines w:val="0"/>
        <w:pageBreakBefore w:val="0"/>
        <w:kinsoku/>
        <w:wordWrap/>
        <w:overflowPunct/>
        <w:topLinePunct w:val="0"/>
        <w:autoSpaceDE/>
        <w:autoSpaceDN/>
        <w:bidi w:val="0"/>
        <w:adjustRightInd/>
        <w:snapToGrid/>
        <w:ind w:firstLine="640"/>
        <w:contextualSpacing/>
        <w:textAlignment w:val="auto"/>
        <w:outlineLvl w:val="2"/>
        <w:rPr>
          <w:rFonts w:cs="仿宋"/>
          <w:szCs w:val="32"/>
        </w:rPr>
      </w:pPr>
      <w:bookmarkStart w:id="30" w:name="_Toc80792914"/>
      <w:bookmarkStart w:id="31" w:name="_Toc80864449"/>
      <w:r>
        <w:rPr>
          <w:rFonts w:hint="eastAsia" w:cs="仿宋"/>
          <w:szCs w:val="32"/>
        </w:rPr>
        <w:t xml:space="preserve">3. </w:t>
      </w:r>
      <w:r>
        <w:rPr>
          <w:rFonts w:hint="eastAsia" w:eastAsia="方正楷体_GBK" w:cs="仿宋"/>
          <w:szCs w:val="32"/>
        </w:rPr>
        <w:t>节能环保产业</w:t>
      </w:r>
      <w:bookmarkEnd w:id="30"/>
      <w:bookmarkEnd w:id="31"/>
    </w:p>
    <w:p>
      <w:pPr>
        <w:keepNext w:val="0"/>
        <w:keepLines w:val="0"/>
        <w:pageBreakBefore w:val="0"/>
        <w:kinsoku/>
        <w:wordWrap/>
        <w:overflowPunct/>
        <w:topLinePunct w:val="0"/>
        <w:autoSpaceDE/>
        <w:autoSpaceDN/>
        <w:bidi w:val="0"/>
        <w:adjustRightInd/>
        <w:snapToGrid/>
        <w:ind w:firstLine="640"/>
        <w:contextualSpacing/>
        <w:textAlignment w:val="auto"/>
        <w:rPr>
          <w:rFonts w:cs="仿宋"/>
          <w:szCs w:val="32"/>
        </w:rPr>
      </w:pPr>
      <w:r>
        <w:rPr>
          <w:rFonts w:hint="eastAsia" w:cs="仿宋"/>
          <w:szCs w:val="32"/>
        </w:rPr>
        <w:t>以江阴市、宜兴市、新吴区为核心，依托江阴临港经济开发区机械装备产业园、宜兴环保科技工业园、新吴区国家高新区等核心载体，以及</w:t>
      </w:r>
      <w:r>
        <w:rPr>
          <w:rFonts w:hint="eastAsia" w:cs="仿宋"/>
          <w:color w:val="000000"/>
          <w:szCs w:val="32"/>
          <w:lang w:bidi="ar"/>
        </w:rPr>
        <w:t>江苏省环保技术创新中心、水污染控制与资源化工程技术研究所等创新平台，</w:t>
      </w:r>
      <w:r>
        <w:rPr>
          <w:rFonts w:cs="仿宋"/>
          <w:szCs w:val="32"/>
        </w:rPr>
        <w:t>充分发挥</w:t>
      </w:r>
      <w:r>
        <w:rPr>
          <w:rFonts w:hint="eastAsia" w:cs="仿宋"/>
          <w:szCs w:val="32"/>
        </w:rPr>
        <w:t>无锡</w:t>
      </w:r>
      <w:r>
        <w:rPr>
          <w:rFonts w:cs="仿宋"/>
          <w:szCs w:val="32"/>
        </w:rPr>
        <w:t>在节能环保装备及产品制造、节能环保工程承包等产业环节规模大</w:t>
      </w:r>
      <w:r>
        <w:rPr>
          <w:rFonts w:hint="eastAsia" w:cs="仿宋"/>
          <w:szCs w:val="32"/>
        </w:rPr>
        <w:t>、</w:t>
      </w:r>
      <w:r>
        <w:rPr>
          <w:rFonts w:cs="仿宋"/>
          <w:szCs w:val="32"/>
        </w:rPr>
        <w:t>技术领先的优势，</w:t>
      </w:r>
      <w:r>
        <w:rPr>
          <w:rFonts w:hint="eastAsia" w:cs="仿宋"/>
          <w:szCs w:val="32"/>
        </w:rPr>
        <w:t>不断完善</w:t>
      </w:r>
      <w:r>
        <w:rPr>
          <w:rFonts w:cs="仿宋"/>
          <w:szCs w:val="32"/>
        </w:rPr>
        <w:t>以高端环保装备、高端节能装备、资源循环利用技术及装备为核心的现代节能环保装备及产品体系，</w:t>
      </w:r>
      <w:r>
        <w:rPr>
          <w:rFonts w:hint="eastAsia" w:cs="仿宋"/>
          <w:szCs w:val="32"/>
        </w:rPr>
        <w:t>打造产品品类齐全、产地品牌优势显著的“一站式”节能环保设备及服务创新基地，建设国内领先的节能环保产业集群。力争到2025年，产业规模突破1700亿元。</w:t>
      </w:r>
    </w:p>
    <w:p>
      <w:pPr>
        <w:keepNext w:val="0"/>
        <w:keepLines w:val="0"/>
        <w:pageBreakBefore w:val="0"/>
        <w:kinsoku/>
        <w:wordWrap/>
        <w:overflowPunct/>
        <w:topLinePunct w:val="0"/>
        <w:autoSpaceDE/>
        <w:autoSpaceDN/>
        <w:bidi w:val="0"/>
        <w:adjustRightInd/>
        <w:snapToGrid/>
        <w:ind w:firstLine="640"/>
        <w:textAlignment w:val="auto"/>
        <w:outlineLvl w:val="2"/>
        <w:rPr>
          <w:rFonts w:cs="仿宋"/>
          <w:szCs w:val="32"/>
        </w:rPr>
      </w:pPr>
      <w:bookmarkStart w:id="32" w:name="_Toc80792915"/>
      <w:bookmarkStart w:id="33" w:name="_Toc80864450"/>
      <w:r>
        <w:rPr>
          <w:rFonts w:hint="eastAsia" w:eastAsia="方正楷体_GBK" w:cs="仿宋"/>
          <w:szCs w:val="32"/>
        </w:rPr>
        <w:t>4. 特色新材料产业</w:t>
      </w:r>
      <w:bookmarkEnd w:id="32"/>
      <w:bookmarkEnd w:id="33"/>
    </w:p>
    <w:p>
      <w:pPr>
        <w:pStyle w:val="2"/>
        <w:keepNext w:val="0"/>
        <w:keepLines w:val="0"/>
        <w:pageBreakBefore w:val="0"/>
        <w:kinsoku/>
        <w:wordWrap/>
        <w:overflowPunct/>
        <w:topLinePunct w:val="0"/>
        <w:autoSpaceDE/>
        <w:autoSpaceDN/>
        <w:bidi w:val="0"/>
        <w:adjustRightInd/>
        <w:snapToGrid/>
        <w:spacing w:after="0"/>
        <w:ind w:firstLine="640"/>
        <w:textAlignment w:val="auto"/>
      </w:pPr>
      <w:r>
        <w:rPr>
          <w:rFonts w:hint="eastAsia"/>
        </w:rPr>
        <w:t>以江阴市、宜兴市、锡山区为重点区域，依托江阴市高新技术开发区、江阴临港开发区、江阴临港化工园区、宜兴新材料产业园、宜兴经济技术开发区、锡山经济开发区新材料产业园等核心载体，聚焦特钢、高分子材料、电子化学品等特色细分产业，持续推动传统冶金化工企业转型升级，建设国家级综合性新材料研发和应用推广平台，打造高端产品品类齐全、绿色化发展水平国际一流的国内领先的新材料产业基地。力争到2025年，产业规模突破2500亿元。</w:t>
      </w:r>
    </w:p>
    <w:p>
      <w:pPr>
        <w:keepNext w:val="0"/>
        <w:keepLines w:val="0"/>
        <w:pageBreakBefore w:val="0"/>
        <w:tabs>
          <w:tab w:val="left" w:pos="1005"/>
        </w:tabs>
        <w:kinsoku/>
        <w:wordWrap/>
        <w:overflowPunct/>
        <w:topLinePunct w:val="0"/>
        <w:autoSpaceDE/>
        <w:autoSpaceDN/>
        <w:bidi w:val="0"/>
        <w:adjustRightInd/>
        <w:snapToGrid/>
        <w:ind w:firstLine="640"/>
        <w:textAlignment w:val="auto"/>
        <w:outlineLvl w:val="2"/>
        <w:rPr>
          <w:rFonts w:cs="仿宋"/>
          <w:szCs w:val="32"/>
        </w:rPr>
      </w:pPr>
      <w:bookmarkStart w:id="34" w:name="_Toc80864451"/>
      <w:bookmarkStart w:id="35" w:name="_Toc80792916"/>
      <w:r>
        <w:rPr>
          <w:rFonts w:cs="仿宋"/>
          <w:szCs w:val="32"/>
        </w:rPr>
        <w:t>5</w:t>
      </w:r>
      <w:r>
        <w:rPr>
          <w:rFonts w:hint="eastAsia" w:cs="仿宋"/>
          <w:szCs w:val="32"/>
        </w:rPr>
        <w:t xml:space="preserve">. </w:t>
      </w:r>
      <w:r>
        <w:rPr>
          <w:rFonts w:hint="eastAsia" w:eastAsia="方正楷体_GBK" w:cs="仿宋"/>
          <w:szCs w:val="32"/>
        </w:rPr>
        <w:t>新能源产业</w:t>
      </w:r>
      <w:bookmarkEnd w:id="34"/>
      <w:bookmarkEnd w:id="35"/>
    </w:p>
    <w:p>
      <w:pPr>
        <w:keepNext w:val="0"/>
        <w:keepLines w:val="0"/>
        <w:pageBreakBefore w:val="0"/>
        <w:tabs>
          <w:tab w:val="left" w:pos="1005"/>
        </w:tabs>
        <w:kinsoku/>
        <w:wordWrap/>
        <w:overflowPunct/>
        <w:topLinePunct w:val="0"/>
        <w:autoSpaceDE/>
        <w:autoSpaceDN/>
        <w:bidi w:val="0"/>
        <w:adjustRightInd/>
        <w:snapToGrid/>
        <w:ind w:firstLine="640"/>
        <w:textAlignment w:val="auto"/>
        <w:rPr>
          <w:rFonts w:cs="方正仿宋_GBK"/>
          <w:szCs w:val="32"/>
        </w:rPr>
      </w:pPr>
      <w:r>
        <w:rPr>
          <w:rFonts w:hint="eastAsia"/>
        </w:rPr>
        <w:t>以</w:t>
      </w:r>
      <w:r>
        <w:rPr>
          <w:rFonts w:hint="eastAsia" w:cs="仿宋"/>
          <w:szCs w:val="32"/>
        </w:rPr>
        <w:t>江阴市、宜兴市、惠山区、新吴区为重点区域，</w:t>
      </w:r>
      <w:r>
        <w:rPr>
          <w:rFonts w:hint="eastAsia"/>
          <w:szCs w:val="21"/>
        </w:rPr>
        <w:t>围绕</w:t>
      </w:r>
      <w:r>
        <w:rPr>
          <w:rFonts w:hint="eastAsia" w:ascii="Times New Roman" w:hAnsi="Times New Roman" w:eastAsia="方正仿宋_GBK" w:cs="Times New Roman"/>
          <w:color w:val="auto"/>
          <w:sz w:val="32"/>
          <w:szCs w:val="21"/>
          <w:shd w:val="clear" w:color="auto" w:fill="auto"/>
        </w:rPr>
        <w:t>“碳达峰”“碳中和”发展</w:t>
      </w:r>
      <w:r>
        <w:rPr>
          <w:rFonts w:hint="eastAsia"/>
          <w:szCs w:val="21"/>
        </w:rPr>
        <w:t>战略</w:t>
      </w:r>
      <w:r>
        <w:rPr>
          <w:rFonts w:hint="eastAsia" w:ascii="Times New Roman" w:hAnsi="Times New Roman" w:eastAsia="方正仿宋_GBK" w:cs="Times New Roman"/>
          <w:color w:val="auto"/>
          <w:sz w:val="32"/>
          <w:szCs w:val="21"/>
          <w:shd w:val="clear" w:color="auto" w:fill="auto"/>
        </w:rPr>
        <w:t>，</w:t>
      </w:r>
      <w:r>
        <w:rPr>
          <w:rFonts w:hint="eastAsia"/>
        </w:rPr>
        <w:t>大力发展光伏、风电、氢能等产业，</w:t>
      </w:r>
      <w:r>
        <w:rPr>
          <w:rFonts w:hint="eastAsia" w:ascii="Times New Roman" w:hAnsi="Times New Roman" w:eastAsia="方正仿宋_GBK" w:cs="Times New Roman"/>
          <w:color w:val="auto"/>
          <w:sz w:val="32"/>
          <w:szCs w:val="21"/>
          <w:shd w:val="clear" w:color="auto" w:fill="auto"/>
        </w:rPr>
        <w:t>加快推动产品技术升级</w:t>
      </w:r>
      <w:r>
        <w:rPr>
          <w:rFonts w:hint="eastAsia"/>
        </w:rPr>
        <w:t>，提高产品经济性、实用性、可靠性，提高新能源产业智能化、网络化发展水平。重点依托国家太阳能光伏产品质量监督检验中心、中科院太阳光伏发电系统质量检测中心华东中心、中国科学院电工研究所无锡分所、江苏风电设计研究院等高端研发平台，</w:t>
      </w:r>
      <w:r>
        <w:rPr>
          <w:rFonts w:hint="eastAsia" w:cs="仿宋"/>
          <w:szCs w:val="32"/>
        </w:rPr>
        <w:t>加快突破一批核心关键共性技术，</w:t>
      </w:r>
      <w:r>
        <w:rPr>
          <w:rFonts w:hint="eastAsia"/>
        </w:rPr>
        <w:t>打造新能源系统集成供应商和单项冠军、专精特新零部件企业。</w:t>
      </w:r>
      <w:r>
        <w:rPr>
          <w:rFonts w:hint="eastAsia" w:cs="方正仿宋_GBK"/>
          <w:szCs w:val="32"/>
        </w:rPr>
        <w:t>加快光伏小镇、风能园区建设，</w:t>
      </w:r>
      <w:r>
        <w:rPr>
          <w:rFonts w:hint="eastAsia" w:cs="方正仿宋_GBK"/>
          <w:szCs w:val="32"/>
          <w:lang w:eastAsia="zh-CN"/>
        </w:rPr>
        <w:t>推动惠山区零碳经济产业园建设，</w:t>
      </w:r>
      <w:r>
        <w:rPr>
          <w:rFonts w:hint="eastAsia" w:cs="方正仿宋_GBK"/>
          <w:szCs w:val="32"/>
        </w:rPr>
        <w:t>以“新能源+”赋能城市建设和行业新能源改造，</w:t>
      </w:r>
      <w:r>
        <w:rPr>
          <w:rFonts w:hint="eastAsia"/>
        </w:rPr>
        <w:t>打造国内领先的新能源产业集群</w:t>
      </w:r>
      <w:r>
        <w:rPr>
          <w:rFonts w:hint="eastAsia" w:cs="仿宋"/>
          <w:szCs w:val="32"/>
        </w:rPr>
        <w:t>。力争到2025年，产业规模突破1500亿元。</w:t>
      </w:r>
    </w:p>
    <w:p>
      <w:pPr>
        <w:keepNext w:val="0"/>
        <w:keepLines w:val="0"/>
        <w:pageBreakBefore w:val="0"/>
        <w:kinsoku/>
        <w:wordWrap/>
        <w:overflowPunct/>
        <w:topLinePunct w:val="0"/>
        <w:autoSpaceDE/>
        <w:autoSpaceDN/>
        <w:bidi w:val="0"/>
        <w:adjustRightInd/>
        <w:snapToGrid/>
        <w:ind w:firstLine="640"/>
        <w:contextualSpacing/>
        <w:textAlignment w:val="auto"/>
        <w:outlineLvl w:val="2"/>
        <w:rPr>
          <w:rFonts w:cs="仿宋"/>
          <w:szCs w:val="32"/>
        </w:rPr>
      </w:pPr>
      <w:bookmarkStart w:id="36" w:name="_Toc80792917"/>
      <w:bookmarkStart w:id="37" w:name="_Toc80864452"/>
      <w:r>
        <w:rPr>
          <w:rFonts w:cs="仿宋"/>
          <w:szCs w:val="32"/>
        </w:rPr>
        <w:t>6.</w:t>
      </w:r>
      <w:r>
        <w:rPr>
          <w:rFonts w:hint="eastAsia" w:cs="仿宋"/>
          <w:szCs w:val="32"/>
        </w:rPr>
        <w:t xml:space="preserve"> </w:t>
      </w:r>
      <w:r>
        <w:rPr>
          <w:rFonts w:hint="eastAsia" w:eastAsia="方正楷体_GBK" w:cs="仿宋"/>
          <w:szCs w:val="32"/>
        </w:rPr>
        <w:t>汽车及零部件产业</w:t>
      </w:r>
      <w:bookmarkEnd w:id="36"/>
      <w:bookmarkEnd w:id="37"/>
    </w:p>
    <w:p>
      <w:pPr>
        <w:keepNext w:val="0"/>
        <w:keepLines w:val="0"/>
        <w:pageBreakBefore w:val="0"/>
        <w:kinsoku/>
        <w:wordWrap/>
        <w:overflowPunct/>
        <w:topLinePunct w:val="0"/>
        <w:autoSpaceDE/>
        <w:autoSpaceDN/>
        <w:bidi w:val="0"/>
        <w:adjustRightInd/>
        <w:snapToGrid/>
        <w:ind w:firstLine="640"/>
        <w:contextualSpacing/>
        <w:textAlignment w:val="auto"/>
        <w:rPr>
          <w:rFonts w:cs="仿宋"/>
          <w:szCs w:val="32"/>
        </w:rPr>
      </w:pPr>
      <w:r>
        <w:rPr>
          <w:rFonts w:hint="eastAsia" w:cs="仿宋"/>
          <w:szCs w:val="32"/>
        </w:rPr>
        <w:t>以江阴市、</w:t>
      </w:r>
      <w:r>
        <w:rPr>
          <w:rFonts w:hint="eastAsia"/>
        </w:rPr>
        <w:t>宜兴市、</w:t>
      </w:r>
      <w:r>
        <w:rPr>
          <w:rFonts w:hint="eastAsia" w:cs="仿宋"/>
          <w:szCs w:val="32"/>
        </w:rPr>
        <w:t>锡山区、惠山区、滨湖区、新吴区</w:t>
      </w:r>
      <w:r>
        <w:rPr>
          <w:rFonts w:hint="eastAsia"/>
        </w:rPr>
        <w:t>为重点区域，</w:t>
      </w:r>
      <w:r>
        <w:rPr>
          <w:rFonts w:cs="仿宋"/>
          <w:szCs w:val="32"/>
        </w:rPr>
        <w:t>以整车制造企业为龙头</w:t>
      </w:r>
      <w:r>
        <w:rPr>
          <w:rFonts w:hint="eastAsia" w:cs="仿宋"/>
          <w:szCs w:val="32"/>
        </w:rPr>
        <w:t>，关键零部件制造企业为核心，推动汽车产业链强链、补链、延链。大力发展新能源汽车及零部件，突破核心关键技术，打造新能源汽车产业高地。深度融合车联网、智能网联、自动驾驶等技术，打造一批新一代汽车智能化零部件和汽车芯片产品，建设国内领先的汽车及零部件产业集群。力争到2025年，产业规模突破2500亿元。</w:t>
      </w:r>
    </w:p>
    <w:p>
      <w:pPr>
        <w:keepNext w:val="0"/>
        <w:keepLines w:val="0"/>
        <w:pageBreakBefore w:val="0"/>
        <w:kinsoku/>
        <w:wordWrap/>
        <w:overflowPunct/>
        <w:topLinePunct w:val="0"/>
        <w:autoSpaceDE/>
        <w:autoSpaceDN/>
        <w:bidi w:val="0"/>
        <w:adjustRightInd/>
        <w:snapToGrid/>
        <w:ind w:firstLine="640"/>
        <w:textAlignment w:val="auto"/>
        <w:outlineLvl w:val="2"/>
        <w:rPr>
          <w:rFonts w:cs="仿宋"/>
          <w:szCs w:val="32"/>
        </w:rPr>
      </w:pPr>
      <w:bookmarkStart w:id="38" w:name="_Toc80864453"/>
      <w:bookmarkStart w:id="39" w:name="_Toc80792918"/>
      <w:r>
        <w:rPr>
          <w:rFonts w:cs="仿宋"/>
          <w:szCs w:val="32"/>
        </w:rPr>
        <w:t>7</w:t>
      </w:r>
      <w:r>
        <w:rPr>
          <w:rFonts w:hint="eastAsia" w:cs="仿宋"/>
          <w:szCs w:val="32"/>
        </w:rPr>
        <w:t>.</w:t>
      </w:r>
      <w:r>
        <w:rPr>
          <w:rFonts w:cs="仿宋"/>
          <w:szCs w:val="32"/>
        </w:rPr>
        <w:t xml:space="preserve"> </w:t>
      </w:r>
      <w:r>
        <w:rPr>
          <w:rFonts w:hint="eastAsia" w:eastAsia="方正楷体_GBK" w:cs="仿宋"/>
          <w:szCs w:val="32"/>
        </w:rPr>
        <w:t>云计算和大数据产业</w:t>
      </w:r>
      <w:bookmarkEnd w:id="38"/>
      <w:bookmarkEnd w:id="39"/>
    </w:p>
    <w:p>
      <w:pPr>
        <w:keepNext w:val="0"/>
        <w:keepLines w:val="0"/>
        <w:pageBreakBefore w:val="0"/>
        <w:kinsoku/>
        <w:wordWrap/>
        <w:overflowPunct/>
        <w:topLinePunct w:val="0"/>
        <w:autoSpaceDE/>
        <w:autoSpaceDN/>
        <w:bidi w:val="0"/>
        <w:adjustRightInd/>
        <w:snapToGrid/>
        <w:ind w:firstLine="640"/>
        <w:textAlignment w:val="auto"/>
        <w:rPr>
          <w:szCs w:val="32"/>
        </w:rPr>
      </w:pPr>
      <w:r>
        <w:rPr>
          <w:szCs w:val="32"/>
        </w:rPr>
        <w:t>以滨湖区、新吴区、梁溪区</w:t>
      </w:r>
      <w:r>
        <w:rPr>
          <w:rFonts w:hint="eastAsia"/>
          <w:szCs w:val="32"/>
        </w:rPr>
        <w:t>、</w:t>
      </w:r>
      <w:r>
        <w:rPr>
          <w:szCs w:val="32"/>
        </w:rPr>
        <w:t>经开区为重点区域，依托无锡（太湖）国际科技园、无锡山水城科教产业园、无锡数据湖产业园、雪浪小镇等核心载体，充分发挥无锡</w:t>
      </w:r>
      <w:r>
        <w:rPr>
          <w:rFonts w:hint="eastAsia"/>
          <w:szCs w:val="32"/>
        </w:rPr>
        <w:t>云计算创新服务试点城市优势</w:t>
      </w:r>
      <w:r>
        <w:rPr>
          <w:szCs w:val="32"/>
        </w:rPr>
        <w:t>，大力开发大数据应用产品，</w:t>
      </w:r>
      <w:r>
        <w:rPr>
          <w:rFonts w:hint="eastAsia"/>
          <w:szCs w:val="32"/>
        </w:rPr>
        <w:t>加快</w:t>
      </w:r>
      <w:r>
        <w:rPr>
          <w:szCs w:val="32"/>
        </w:rPr>
        <w:t>培育数据驱动型企业，打造应用产品特色鲜明、数据资源共享模式先进、产业链条完整的云计算和大数据产业高地。力争到2025年，产业规模突破500亿元。</w:t>
      </w:r>
    </w:p>
    <w:p>
      <w:pPr>
        <w:keepNext w:val="0"/>
        <w:keepLines w:val="0"/>
        <w:pageBreakBefore w:val="0"/>
        <w:kinsoku/>
        <w:wordWrap/>
        <w:overflowPunct/>
        <w:topLinePunct w:val="0"/>
        <w:autoSpaceDE/>
        <w:autoSpaceDN/>
        <w:bidi w:val="0"/>
        <w:adjustRightInd/>
        <w:snapToGrid/>
        <w:ind w:firstLine="640"/>
        <w:textAlignment w:val="auto"/>
        <w:outlineLvl w:val="1"/>
        <w:rPr>
          <w:rFonts w:eastAsia="方正楷体_GBK"/>
          <w:szCs w:val="32"/>
        </w:rPr>
      </w:pPr>
      <w:bookmarkStart w:id="40" w:name="_Toc80864454"/>
      <w:r>
        <w:rPr>
          <w:rFonts w:hint="eastAsia" w:eastAsia="方正楷体_GBK"/>
          <w:szCs w:val="32"/>
        </w:rPr>
        <w:t>（三）加快布局未来产业</w:t>
      </w:r>
      <w:bookmarkEnd w:id="40"/>
    </w:p>
    <w:p>
      <w:pPr>
        <w:keepNext w:val="0"/>
        <w:keepLines w:val="0"/>
        <w:pageBreakBefore w:val="0"/>
        <w:kinsoku/>
        <w:wordWrap/>
        <w:overflowPunct/>
        <w:topLinePunct w:val="0"/>
        <w:autoSpaceDE/>
        <w:autoSpaceDN/>
        <w:bidi w:val="0"/>
        <w:adjustRightInd/>
        <w:snapToGrid/>
        <w:ind w:firstLine="640"/>
        <w:contextualSpacing/>
        <w:textAlignment w:val="auto"/>
        <w:rPr>
          <w:rFonts w:cs="方正黑体_GBK"/>
          <w:szCs w:val="32"/>
        </w:rPr>
      </w:pPr>
      <w:r>
        <w:rPr>
          <w:rFonts w:hint="eastAsia" w:cs="方正黑体_GBK"/>
          <w:szCs w:val="32"/>
        </w:rPr>
        <w:t>鼓励有条件的企业和科研机构抢位布局</w:t>
      </w:r>
      <w:r>
        <w:rPr>
          <w:rFonts w:hint="eastAsia" w:cstheme="minorBidi"/>
          <w:bCs/>
          <w:color w:val="000000"/>
          <w:szCs w:val="32"/>
        </w:rPr>
        <w:t>人工智能、量子科技、5G及未来通讯、区块链、北斗技术应用、化合物半导体、深海装备技术等</w:t>
      </w:r>
      <w:r>
        <w:rPr>
          <w:rFonts w:hint="eastAsia" w:cs="方正黑体_GBK"/>
          <w:szCs w:val="32"/>
        </w:rPr>
        <w:t>未来产业，抢占未来发展制高点，</w:t>
      </w:r>
      <w:r>
        <w:rPr>
          <w:rFonts w:hint="eastAsia"/>
        </w:rPr>
        <w:t>打造产品特色鲜明、创新资源集聚、产业化成效初显的未来产业先发之地。</w:t>
      </w:r>
    </w:p>
    <w:bookmarkEnd w:id="12"/>
    <w:bookmarkEnd w:id="13"/>
    <w:p>
      <w:pPr>
        <w:ind w:firstLine="640"/>
        <w:outlineLvl w:val="0"/>
        <w:rPr>
          <w:rFonts w:eastAsia="方正黑体_GBK"/>
          <w:kern w:val="0"/>
          <w:szCs w:val="32"/>
        </w:rPr>
      </w:pPr>
      <w:bookmarkStart w:id="41" w:name="_Toc80864462"/>
      <w:bookmarkStart w:id="42" w:name="_Toc71735073"/>
      <w:r>
        <w:rPr>
          <w:rFonts w:hint="eastAsia" w:eastAsia="方正黑体_GBK"/>
          <w:kern w:val="0"/>
          <w:szCs w:val="32"/>
        </w:rPr>
        <w:t>四、主要任务</w:t>
      </w:r>
      <w:bookmarkEnd w:id="41"/>
    </w:p>
    <w:p>
      <w:pPr>
        <w:spacing w:afterLines="0"/>
        <w:ind w:firstLine="640"/>
        <w:outlineLvl w:val="1"/>
        <w:rPr>
          <w:rFonts w:eastAsia="方正楷体_GBK"/>
          <w:kern w:val="0"/>
        </w:rPr>
      </w:pPr>
      <w:bookmarkStart w:id="43" w:name="_Toc80864463"/>
      <w:r>
        <w:rPr>
          <w:rFonts w:hint="eastAsia" w:eastAsia="方正楷体_GBK"/>
          <w:kern w:val="0"/>
          <w:szCs w:val="32"/>
        </w:rPr>
        <w:t>（一）实施先进制造业集群培育工程</w:t>
      </w:r>
      <w:r>
        <w:rPr>
          <w:rFonts w:hint="eastAsia" w:eastAsia="方正楷体_GBK"/>
          <w:kern w:val="0"/>
        </w:rPr>
        <w:t>，提升产业链现代化水平</w:t>
      </w:r>
      <w:bookmarkEnd w:id="43"/>
    </w:p>
    <w:p>
      <w:pPr>
        <w:autoSpaceDE w:val="0"/>
        <w:autoSpaceDN w:val="0"/>
        <w:snapToGrid w:val="0"/>
        <w:spacing w:afterLines="0"/>
        <w:ind w:firstLine="640"/>
        <w:rPr>
          <w:rFonts w:cs="方正仿宋_GBK"/>
          <w:bCs/>
          <w:kern w:val="0"/>
          <w:szCs w:val="32"/>
        </w:rPr>
      </w:pPr>
      <w:r>
        <w:rPr>
          <w:rFonts w:hint="eastAsia" w:cs="方正仿宋_GBK"/>
          <w:bCs/>
          <w:kern w:val="0"/>
          <w:szCs w:val="32"/>
        </w:rPr>
        <w:t>深入实施先进制造业集群培育工程，以产业集群建设为引领，推动优势产业做大做强，新兴产业发展壮大，着力提升产业链现代化水平。</w:t>
      </w:r>
    </w:p>
    <w:p>
      <w:pPr>
        <w:autoSpaceDE w:val="0"/>
        <w:autoSpaceDN w:val="0"/>
        <w:snapToGrid w:val="0"/>
        <w:spacing w:afterLines="0"/>
        <w:ind w:firstLine="640"/>
        <w:rPr>
          <w:rFonts w:cs="方正仿宋_GBK"/>
          <w:kern w:val="0"/>
          <w:szCs w:val="32"/>
        </w:rPr>
      </w:pPr>
      <w:r>
        <w:rPr>
          <w:rFonts w:hint="eastAsia" w:eastAsia="方正楷体_GBK" w:cs="方正仿宋_GBK"/>
          <w:kern w:val="0"/>
          <w:szCs w:val="32"/>
        </w:rPr>
        <w:t>优化集群发展生态体系</w:t>
      </w:r>
      <w:r>
        <w:rPr>
          <w:rFonts w:hint="eastAsia" w:cs="方正仿宋_GBK"/>
          <w:b/>
          <w:kern w:val="0"/>
          <w:szCs w:val="32"/>
        </w:rPr>
        <w:t>。</w:t>
      </w:r>
      <w:r>
        <w:rPr>
          <w:rFonts w:hint="eastAsia" w:cs="方正仿宋_GBK"/>
          <w:bCs/>
          <w:kern w:val="0"/>
          <w:szCs w:val="32"/>
        </w:rPr>
        <w:t>聚焦系统培育，以“地标产业</w:t>
      </w:r>
      <w:r>
        <w:rPr>
          <w:rFonts w:cs="方正仿宋_GBK"/>
          <w:bCs/>
          <w:kern w:val="0"/>
          <w:szCs w:val="32"/>
        </w:rPr>
        <w:t>+</w:t>
      </w:r>
      <w:r>
        <w:rPr>
          <w:rFonts w:hint="eastAsia" w:cs="方正仿宋_GBK"/>
          <w:bCs/>
          <w:kern w:val="0"/>
          <w:szCs w:val="32"/>
        </w:rPr>
        <w:t>重点产业</w:t>
      </w:r>
      <w:r>
        <w:rPr>
          <w:rFonts w:cs="方正仿宋_GBK"/>
          <w:bCs/>
          <w:kern w:val="0"/>
          <w:szCs w:val="32"/>
        </w:rPr>
        <w:t>+</w:t>
      </w:r>
      <w:r>
        <w:rPr>
          <w:rFonts w:hint="eastAsia" w:cs="方正仿宋_GBK"/>
          <w:bCs/>
          <w:kern w:val="0"/>
          <w:szCs w:val="32"/>
        </w:rPr>
        <w:t>未来产业”为重点，积极构建多层次集群发展格局。</w:t>
      </w:r>
      <w:r>
        <w:rPr>
          <w:rFonts w:hint="eastAsia" w:cs="方正仿宋_GBK"/>
          <w:szCs w:val="32"/>
        </w:rPr>
        <w:t>紧扣产业发展方向，</w:t>
      </w:r>
      <w:r>
        <w:rPr>
          <w:rFonts w:hint="eastAsia" w:cs="方正仿宋_GBK"/>
          <w:bCs/>
          <w:kern w:val="0"/>
          <w:szCs w:val="32"/>
        </w:rPr>
        <w:t>精准引进、建设一批“造、补、强、延”链高端项目，完善制造业重点项目建设保障服务机制，持续夯实集群发展根基。引育一批龙头骨干企业，强化产业上下游延伸、左右链配套，</w:t>
      </w:r>
      <w:r>
        <w:rPr>
          <w:rFonts w:hint="eastAsia" w:cs="方正仿宋_GBK"/>
          <w:szCs w:val="32"/>
        </w:rPr>
        <w:t>提高集群要素汇聚能力。</w:t>
      </w:r>
      <w:r>
        <w:rPr>
          <w:rFonts w:hint="eastAsia" w:cs="方正仿宋_GBK"/>
          <w:kern w:val="0"/>
          <w:szCs w:val="32"/>
        </w:rPr>
        <w:t>总结推广物联网创新促进中心建设经验，加快培育一批专业化集群促进机构，搭建</w:t>
      </w:r>
      <w:r>
        <w:rPr>
          <w:rFonts w:hint="eastAsia" w:cs="方正仿宋_GBK"/>
          <w:bCs/>
          <w:kern w:val="0"/>
          <w:szCs w:val="32"/>
        </w:rPr>
        <w:t>集“六大功能”</w:t>
      </w:r>
      <w:r>
        <w:rPr>
          <w:rStyle w:val="31"/>
          <w:rFonts w:hint="eastAsia" w:cs="方正仿宋_GBK"/>
          <w:bCs/>
          <w:kern w:val="0"/>
          <w:szCs w:val="32"/>
        </w:rPr>
        <w:footnoteReference w:id="0"/>
      </w:r>
      <w:r>
        <w:rPr>
          <w:rFonts w:hint="eastAsia" w:cs="方正仿宋_GBK"/>
          <w:bCs/>
          <w:kern w:val="0"/>
          <w:szCs w:val="32"/>
        </w:rPr>
        <w:t>于</w:t>
      </w:r>
      <w:r>
        <w:rPr>
          <w:rFonts w:hint="eastAsia" w:cs="方正仿宋_GBK"/>
          <w:kern w:val="0"/>
          <w:szCs w:val="32"/>
        </w:rPr>
        <w:t>一体的产业集群综合服务平台，</w:t>
      </w:r>
      <w:r>
        <w:rPr>
          <w:rFonts w:hint="eastAsia" w:cs="方正仿宋_GBK"/>
          <w:szCs w:val="32"/>
        </w:rPr>
        <w:t>营造资源富集、多方参与、合作共赢的良好发展生态。</w:t>
      </w:r>
      <w:r>
        <w:rPr>
          <w:rFonts w:hint="eastAsia" w:cs="方正仿宋_GBK"/>
          <w:kern w:val="0"/>
          <w:szCs w:val="32"/>
        </w:rPr>
        <w:t xml:space="preserve"> </w:t>
      </w:r>
    </w:p>
    <w:p>
      <w:pPr>
        <w:autoSpaceDE w:val="0"/>
        <w:autoSpaceDN w:val="0"/>
        <w:snapToGrid w:val="0"/>
        <w:spacing w:afterLines="0"/>
        <w:ind w:left="0" w:leftChars="0" w:firstLine="640" w:firstLineChars="200"/>
        <w:rPr>
          <w:rFonts w:eastAsia="方正楷体_GBK" w:cs="方正仿宋_GBK"/>
          <w:kern w:val="0"/>
          <w:szCs w:val="32"/>
        </w:rPr>
      </w:pPr>
      <w:r>
        <w:rPr>
          <w:rFonts w:hint="eastAsia" w:eastAsia="方正楷体_GBK" w:cs="方正仿宋_GBK"/>
          <w:kern w:val="0"/>
          <w:szCs w:val="32"/>
        </w:rPr>
        <w:t>提升优势产业发展能级</w:t>
      </w:r>
      <w:r>
        <w:rPr>
          <w:rFonts w:hint="eastAsia" w:cs="方正仿宋_GBK"/>
          <w:b/>
          <w:kern w:val="0"/>
          <w:szCs w:val="32"/>
        </w:rPr>
        <w:t>。</w:t>
      </w:r>
      <w:r>
        <w:rPr>
          <w:rFonts w:hint="eastAsia" w:cs="方正仿宋_GBK"/>
          <w:bCs/>
          <w:kern w:val="0"/>
          <w:szCs w:val="32"/>
        </w:rPr>
        <w:t>以“补强”“增粗”“拉长”“育新”为重点，以“推高”“变绿”“促智”“化柔”为导向，拓宽产业发展领域，提升产业发展质态。开展优势产业链培育“</w:t>
      </w:r>
      <w:r>
        <w:rPr>
          <w:rFonts w:cs="方正仿宋_GBK"/>
          <w:bCs/>
          <w:kern w:val="0"/>
          <w:szCs w:val="32"/>
        </w:rPr>
        <w:t>105</w:t>
      </w:r>
      <w:r>
        <w:rPr>
          <w:rFonts w:hint="eastAsia" w:cs="方正仿宋_GBK"/>
          <w:bCs/>
          <w:kern w:val="0"/>
          <w:szCs w:val="32"/>
        </w:rPr>
        <w:t>”计划，在地标产业、重点产业中，选取10条特色优势产业链，</w:t>
      </w:r>
      <w:r>
        <w:rPr>
          <w:rFonts w:hint="eastAsia" w:cs="方正仿宋_GBK"/>
          <w:kern w:val="0"/>
          <w:szCs w:val="32"/>
        </w:rPr>
        <w:t>完善产业链培育推进机制，</w:t>
      </w:r>
      <w:r>
        <w:rPr>
          <w:rFonts w:hint="eastAsia" w:cs="方正仿宋_GBK"/>
          <w:bCs/>
          <w:kern w:val="0"/>
          <w:szCs w:val="32"/>
        </w:rPr>
        <w:t>实施市领导挂钩联系制度，推进“六个一”</w:t>
      </w:r>
      <w:r>
        <w:rPr>
          <w:rStyle w:val="31"/>
          <w:rFonts w:hint="eastAsia" w:cs="方正仿宋_GBK"/>
          <w:bCs/>
          <w:kern w:val="0"/>
          <w:szCs w:val="32"/>
        </w:rPr>
        <w:footnoteReference w:id="1"/>
      </w:r>
      <w:r>
        <w:rPr>
          <w:rFonts w:hint="eastAsia" w:cs="方正仿宋_GBK"/>
          <w:bCs/>
          <w:kern w:val="0"/>
          <w:szCs w:val="32"/>
        </w:rPr>
        <w:t>标配体系建设，编制产业链发展图谱，绘制产业发展技术路线图，</w:t>
      </w:r>
      <w:r>
        <w:rPr>
          <w:rFonts w:hint="eastAsia" w:cs="方正仿宋_GBK"/>
          <w:kern w:val="0"/>
          <w:szCs w:val="32"/>
        </w:rPr>
        <w:t>加速构建一批国内乃至国际一流的卓越产业链，</w:t>
      </w:r>
      <w:r>
        <w:rPr>
          <w:rFonts w:hint="eastAsia" w:cs="方正仿宋_GBK"/>
          <w:bCs/>
          <w:kern w:val="0"/>
          <w:szCs w:val="32"/>
        </w:rPr>
        <w:t>推动优势产业“强筋壮骨”。</w:t>
      </w:r>
    </w:p>
    <w:p>
      <w:pPr>
        <w:autoSpaceDE w:val="0"/>
        <w:autoSpaceDN w:val="0"/>
        <w:snapToGrid w:val="0"/>
        <w:spacing w:after="0" w:afterLines="0"/>
        <w:ind w:firstLine="640"/>
        <w:rPr>
          <w:rFonts w:hint="eastAsia" w:cs="方正仿宋_GBK"/>
          <w:kern w:val="0"/>
          <w:szCs w:val="32"/>
          <w:shd w:val="clear" w:color="auto" w:fill="FFFFFF"/>
        </w:rPr>
      </w:pPr>
      <w:r>
        <w:rPr>
          <w:rFonts w:hint="eastAsia" w:eastAsia="方正楷体_GBK" w:cs="方正仿宋_GBK"/>
          <w:kern w:val="0"/>
          <w:szCs w:val="32"/>
        </w:rPr>
        <w:t>推动产业链协同发展</w:t>
      </w:r>
      <w:r>
        <w:rPr>
          <w:rFonts w:hint="eastAsia" w:cs="方正仿宋_GBK"/>
          <w:b/>
          <w:kern w:val="0"/>
          <w:szCs w:val="32"/>
        </w:rPr>
        <w:t>。</w:t>
      </w:r>
      <w:r>
        <w:rPr>
          <w:rFonts w:hint="eastAsia" w:cs="方正仿宋_GBK"/>
          <w:kern w:val="0"/>
          <w:szCs w:val="32"/>
        </w:rPr>
        <w:t>聚焦新一代信息技术等重点领域，围绕供应链、创新链、资源链协同，加快探索资源开放、能力共建、数据共享等协同机制。鼓励链主企业紧扣价值链提升、供应链稳定，主动培育一批紧密型合作伙伴。引导</w:t>
      </w:r>
      <w:r>
        <w:rPr>
          <w:rFonts w:hint="eastAsia" w:cs="方正仿宋_GBK"/>
          <w:kern w:val="0"/>
          <w:szCs w:val="32"/>
          <w:shd w:val="clear" w:color="auto" w:fill="FFFFFF"/>
        </w:rPr>
        <w:t>企业开展跨区域、跨领域、跨行业产品交易、技术交流、人才合作，加快融入区域产业供应体系和产业创新体系。健全重点产业链供应链安全保障机制，搭建供应链大数据监测平台，打造多方共赢、可持续发展的产业链供应链发展环境。</w:t>
      </w:r>
    </w:p>
    <w:p>
      <w:pPr>
        <w:spacing w:before="0" w:beforeLines="0" w:afterLines="0"/>
        <w:ind w:firstLine="640"/>
        <w:outlineLvl w:val="1"/>
        <w:rPr>
          <w:rFonts w:eastAsia="方正楷体_GBK"/>
        </w:rPr>
      </w:pPr>
      <w:bookmarkStart w:id="44" w:name="_Toc80864464"/>
      <w:r>
        <w:rPr>
          <w:rFonts w:hint="eastAsia" w:eastAsia="方正楷体_GBK"/>
          <w:szCs w:val="32"/>
        </w:rPr>
        <w:t>（二）实施自主创新体系构建工程，提升产业创新能力</w:t>
      </w:r>
    </w:p>
    <w:bookmarkEnd w:id="44"/>
    <w:p>
      <w:pPr>
        <w:pStyle w:val="2"/>
        <w:widowControl/>
        <w:spacing w:beforeLines="0" w:after="0" w:afterLines="0"/>
        <w:ind w:firstLine="640"/>
        <w:rPr>
          <w:rFonts w:eastAsia="方正楷体_GBK"/>
        </w:rPr>
      </w:pPr>
      <w:r>
        <w:rPr>
          <w:rFonts w:hint="eastAsia" w:cs="方正仿宋_GBK"/>
          <w:szCs w:val="32"/>
        </w:rPr>
        <w:t>把创新作为产业发展的第一驱动力，全力构建协同高效的自主创新体系，提升产业创新能力</w:t>
      </w:r>
      <w:r>
        <w:rPr>
          <w:rFonts w:hint="eastAsia" w:cs="方正仿宋_GBK"/>
          <w:kern w:val="0"/>
        </w:rPr>
        <w:t xml:space="preserve">。 </w:t>
      </w:r>
    </w:p>
    <w:p>
      <w:pPr>
        <w:pStyle w:val="2"/>
        <w:widowControl/>
        <w:spacing w:beforeLines="0" w:after="0" w:afterLines="0"/>
        <w:ind w:firstLine="640"/>
        <w:rPr>
          <w:rFonts w:eastAsia="方正楷体_GBK"/>
        </w:rPr>
      </w:pPr>
      <w:r>
        <w:rPr>
          <w:rFonts w:hint="eastAsia" w:eastAsia="方正楷体_GBK" w:cs="方正仿宋_GBK"/>
          <w:color w:val="000000"/>
          <w:lang w:bidi="ar"/>
        </w:rPr>
        <w:t>发挥企业创新主体作用。</w:t>
      </w:r>
      <w:r>
        <w:rPr>
          <w:rFonts w:hint="eastAsia" w:cs="方正仿宋_GBK"/>
          <w:color w:val="000000"/>
          <w:kern w:val="0"/>
          <w:szCs w:val="32"/>
          <w:lang w:bidi="ar"/>
        </w:rPr>
        <w:t>坚持融入全球产业链体系的创新导向，突出植根性、创新性、带动性和标识度，加快构建多层次、递次型创新企业群体。落实支持企业创新的普惠性政策及财政专项支持，鼓励企业加大研发投入，创新管理机制，提升创新能力。优化天使资金、种子基金供给，激发企业创新动力，鼓励企业原始创新。支持有条件的企业创建企业技术中心、工程研究中心等企业研发平台</w:t>
      </w:r>
      <w:r>
        <w:rPr>
          <w:rFonts w:hint="eastAsia" w:cs="方正仿宋_GBK"/>
          <w:color w:val="000000"/>
          <w:lang w:bidi="ar"/>
        </w:rPr>
        <w:t>，</w:t>
      </w:r>
      <w:r>
        <w:rPr>
          <w:rFonts w:hint="eastAsia" w:cs="方正仿宋_GBK"/>
          <w:color w:val="000000"/>
          <w:kern w:val="0"/>
          <w:szCs w:val="32"/>
          <w:lang w:bidi="ar"/>
        </w:rPr>
        <w:t>力争到</w:t>
      </w:r>
      <w:r>
        <w:rPr>
          <w:rFonts w:cs="方正仿宋_GBK"/>
          <w:color w:val="000000"/>
          <w:kern w:val="0"/>
          <w:szCs w:val="32"/>
          <w:lang w:bidi="ar"/>
        </w:rPr>
        <w:t>2025</w:t>
      </w:r>
      <w:r>
        <w:rPr>
          <w:rFonts w:hint="eastAsia" w:cs="方正仿宋_GBK"/>
          <w:color w:val="000000"/>
          <w:kern w:val="0"/>
          <w:szCs w:val="32"/>
          <w:lang w:bidi="ar"/>
        </w:rPr>
        <w:t>年，新增省级以上企业技术中心</w:t>
      </w:r>
      <w:r>
        <w:rPr>
          <w:rFonts w:cs="方正仿宋_GBK"/>
          <w:color w:val="000000"/>
          <w:kern w:val="0"/>
          <w:szCs w:val="32"/>
          <w:lang w:bidi="ar"/>
        </w:rPr>
        <w:t>100家</w:t>
      </w:r>
      <w:r>
        <w:rPr>
          <w:rFonts w:hint="eastAsia" w:cs="方正仿宋_GBK"/>
          <w:color w:val="000000"/>
          <w:kern w:val="0"/>
          <w:szCs w:val="32"/>
          <w:lang w:bidi="ar"/>
        </w:rPr>
        <w:t>、市级</w:t>
      </w:r>
      <w:r>
        <w:rPr>
          <w:rFonts w:cs="方正仿宋_GBK"/>
          <w:color w:val="000000"/>
          <w:kern w:val="0"/>
          <w:szCs w:val="32"/>
          <w:lang w:bidi="ar"/>
        </w:rPr>
        <w:t>300</w:t>
      </w:r>
      <w:r>
        <w:rPr>
          <w:rFonts w:hint="eastAsia" w:cs="方正仿宋_GBK"/>
          <w:color w:val="000000"/>
          <w:kern w:val="0"/>
          <w:szCs w:val="32"/>
          <w:lang w:bidi="ar"/>
        </w:rPr>
        <w:t>家。</w:t>
      </w:r>
    </w:p>
    <w:p>
      <w:pPr>
        <w:widowControl/>
        <w:adjustRightInd w:val="0"/>
        <w:snapToGrid w:val="0"/>
        <w:spacing w:beforeLines="0" w:after="0" w:afterLines="0"/>
        <w:ind w:firstLine="640"/>
        <w:rPr>
          <w:rFonts w:cs="方正仿宋_GBK"/>
          <w:color w:val="000000"/>
          <w:lang w:bidi="ar"/>
        </w:rPr>
      </w:pPr>
      <w:r>
        <w:rPr>
          <w:rFonts w:hint="eastAsia" w:eastAsia="方正楷体_GBK"/>
        </w:rPr>
        <w:t>推动创新载体提档升级</w:t>
      </w:r>
      <w:r>
        <w:rPr>
          <w:rFonts w:hint="eastAsia" w:eastAsia="方正楷体_GBK" w:cs="方正仿宋_GBK"/>
          <w:color w:val="000000"/>
          <w:lang w:bidi="ar"/>
        </w:rPr>
        <w:t>。</w:t>
      </w:r>
      <w:r>
        <w:rPr>
          <w:rFonts w:hint="eastAsia" w:cs="方正仿宋_GBK"/>
          <w:color w:val="000000"/>
          <w:lang w:bidi="ar"/>
        </w:rPr>
        <w:t>充分发挥创新联合体在整合创新资源、推动共性技术突破中的引领作用，加快在锡布局建设、优化提升一批国家实验室、国家产业创新中心、技术创新中心、制造业创新中心。创新载体组织机制，探索培育一批市场主导、多元参与、机制灵活的共性技术创新平台。加快新型研发机构引育，前瞻瞄准产业创新需求，推动本地</w:t>
      </w:r>
      <w:r>
        <w:rPr>
          <w:rFonts w:hint="eastAsia" w:cs="方正仿宋_GBK"/>
          <w:lang w:bidi="ar"/>
        </w:rPr>
        <w:t>企业、高校、科研机构主动</w:t>
      </w:r>
      <w:r>
        <w:rPr>
          <w:rFonts w:hint="eastAsia" w:cs="方正仿宋_GBK"/>
          <w:color w:val="000000"/>
          <w:lang w:bidi="ar"/>
        </w:rPr>
        <w:t>对接国家重大科研院所、国内“双一流”大学</w:t>
      </w:r>
      <w:r>
        <w:rPr>
          <w:rFonts w:hint="eastAsia" w:cs="方正仿宋_GBK"/>
          <w:lang w:bidi="ar"/>
        </w:rPr>
        <w:t>，共建一批集科学研究、应用研发、人才培养等多功能的高</w:t>
      </w:r>
      <w:r>
        <w:rPr>
          <w:rFonts w:hint="eastAsia" w:cs="方正仿宋_GBK"/>
          <w:color w:val="000000"/>
          <w:lang w:bidi="ar"/>
        </w:rPr>
        <w:t>水平</w:t>
      </w:r>
      <w:r>
        <w:rPr>
          <w:rFonts w:hint="eastAsia" w:cs="方正仿宋_GBK"/>
          <w:lang w:bidi="ar"/>
        </w:rPr>
        <w:t>创新服务平台，提供共性技术服务</w:t>
      </w:r>
      <w:r>
        <w:rPr>
          <w:rFonts w:hint="eastAsia" w:cs="方正仿宋_GBK"/>
          <w:color w:val="000000"/>
          <w:lang w:bidi="ar"/>
        </w:rPr>
        <w:t>。</w:t>
      </w:r>
    </w:p>
    <w:p>
      <w:pPr>
        <w:spacing w:before="0" w:beforeLines="-2147483648" w:after="0" w:afterLines="-2147483648"/>
        <w:ind w:firstLine="640"/>
        <w:rPr>
          <w:rFonts w:cs="方正仿宋_GBK"/>
          <w:szCs w:val="32"/>
        </w:rPr>
      </w:pPr>
      <w:r>
        <w:rPr>
          <w:rFonts w:hint="eastAsia" w:eastAsia="方正楷体_GBK"/>
          <w:szCs w:val="21"/>
        </w:rPr>
        <w:t>开展关键核心技术攻关。</w:t>
      </w:r>
      <w:r>
        <w:rPr>
          <w:rFonts w:hint="eastAsia" w:cs="方正仿宋_GBK"/>
          <w:szCs w:val="32"/>
        </w:rPr>
        <w:t>聚焦新一代信息技术、高端装备、生物医药、新能源、新材料等重点领域，实施“太湖之光”科技攻关计划，依托“揭榜挂帅”等组织形式，突破一批关键技术，增强核心技术供给能力。支持企业、高校、研究机构为主体，牵头实施关键核心技术攻关，补齐一批技术短板。鼓励无锡优势院校、龙头骨干企业、产业技术创新战略联盟参与或承担国家和省级重大科技专项、重点研发计划，</w:t>
      </w:r>
      <w:r>
        <w:rPr>
          <w:rFonts w:hint="eastAsia" w:cs="方正仿宋_GBK"/>
          <w:szCs w:val="32"/>
          <w:lang w:bidi="ar"/>
        </w:rPr>
        <w:t>为国家突破“卡脖子”技术提供“无锡方案”</w:t>
      </w:r>
      <w:r>
        <w:rPr>
          <w:rFonts w:hint="eastAsia" w:cs="方正仿宋_GBK"/>
          <w:szCs w:val="32"/>
        </w:rPr>
        <w:t>。力争到2025年，完成100项技术攻关。</w:t>
      </w:r>
    </w:p>
    <w:p>
      <w:pPr>
        <w:widowControl/>
        <w:spacing w:afterLines="0"/>
        <w:ind w:firstLine="640"/>
        <w:rPr>
          <w:rFonts w:cs="方正仿宋_GBK"/>
        </w:rPr>
      </w:pPr>
      <w:r>
        <w:rPr>
          <w:rFonts w:hint="eastAsia" w:eastAsia="方正楷体_GBK"/>
        </w:rPr>
        <w:t>加速创新成果转化提升。</w:t>
      </w:r>
      <w:r>
        <w:rPr>
          <w:rFonts w:hint="eastAsia" w:cs="方正仿宋_GBK"/>
          <w:color w:val="000000"/>
          <w:kern w:val="0"/>
          <w:szCs w:val="32"/>
          <w:lang w:bidi="ar"/>
        </w:rPr>
        <w:t>促进产学研深度融合，</w:t>
      </w:r>
      <w:r>
        <w:rPr>
          <w:rFonts w:cs="方正仿宋_GBK"/>
          <w:color w:val="000000"/>
          <w:kern w:val="0"/>
          <w:szCs w:val="32"/>
          <w:lang w:bidi="ar"/>
        </w:rPr>
        <w:t>支持高校、</w:t>
      </w:r>
      <w:r>
        <w:rPr>
          <w:rFonts w:hint="eastAsia" w:cs="方正仿宋_GBK"/>
          <w:color w:val="000000"/>
          <w:kern w:val="0"/>
          <w:szCs w:val="32"/>
          <w:lang w:bidi="ar"/>
        </w:rPr>
        <w:t>科研院所和企业面向市场开展科技成果转移转化活动，</w:t>
      </w:r>
      <w:r>
        <w:rPr>
          <w:rFonts w:cs="方正仿宋_GBK"/>
          <w:color w:val="000000"/>
          <w:kern w:val="0"/>
          <w:szCs w:val="32"/>
          <w:lang w:bidi="ar"/>
        </w:rPr>
        <w:t>加快建设概念验证中心、中试小试</w:t>
      </w:r>
      <w:r>
        <w:rPr>
          <w:rFonts w:hint="eastAsia" w:cs="方正仿宋_GBK"/>
          <w:color w:val="000000"/>
          <w:kern w:val="0"/>
          <w:szCs w:val="32"/>
          <w:lang w:bidi="ar"/>
        </w:rPr>
        <w:t>基地，打通创新成果转化“最初一公里”。加强</w:t>
      </w:r>
      <w:r>
        <w:rPr>
          <w:rFonts w:cs="方正仿宋_GBK"/>
          <w:color w:val="000000"/>
          <w:kern w:val="0"/>
          <w:szCs w:val="32"/>
          <w:lang w:bidi="ar"/>
        </w:rPr>
        <w:t>创新孵化平台</w:t>
      </w:r>
      <w:r>
        <w:rPr>
          <w:rFonts w:hint="eastAsia" w:cs="方正仿宋_GBK"/>
          <w:color w:val="000000"/>
          <w:kern w:val="0"/>
          <w:szCs w:val="32"/>
          <w:lang w:bidi="ar"/>
        </w:rPr>
        <w:t>建设，</w:t>
      </w:r>
      <w:r>
        <w:rPr>
          <w:rFonts w:hint="eastAsia"/>
        </w:rPr>
        <w:t>加快建设一批专业化孵化器、众创空间、劳模和工匠人才创新工作室等公共服务平台，</w:t>
      </w:r>
      <w:r>
        <w:rPr>
          <w:rFonts w:hint="eastAsia" w:cs="方正仿宋_GBK"/>
          <w:color w:val="000000"/>
          <w:kern w:val="0"/>
          <w:szCs w:val="32"/>
          <w:lang w:bidi="ar"/>
        </w:rPr>
        <w:t>推动形成</w:t>
      </w:r>
      <w:r>
        <w:rPr>
          <w:rFonts w:cs="方正仿宋_GBK"/>
          <w:color w:val="000000"/>
          <w:kern w:val="0"/>
          <w:szCs w:val="32"/>
          <w:lang w:bidi="ar"/>
        </w:rPr>
        <w:t>“</w:t>
      </w:r>
      <w:r>
        <w:rPr>
          <w:rFonts w:hint="eastAsia" w:cs="方正仿宋_GBK"/>
          <w:color w:val="000000"/>
          <w:kern w:val="0"/>
          <w:szCs w:val="32"/>
          <w:lang w:bidi="ar"/>
        </w:rPr>
        <w:t>众创空间</w:t>
      </w:r>
      <w:r>
        <w:rPr>
          <w:rFonts w:cs="方正仿宋_GBK"/>
          <w:color w:val="000000"/>
          <w:kern w:val="0"/>
          <w:szCs w:val="32"/>
          <w:lang w:bidi="ar"/>
        </w:rPr>
        <w:t>+</w:t>
      </w:r>
      <w:r>
        <w:rPr>
          <w:rFonts w:hint="eastAsia" w:cs="方正仿宋_GBK"/>
          <w:color w:val="000000"/>
          <w:kern w:val="0"/>
          <w:szCs w:val="32"/>
          <w:lang w:bidi="ar"/>
        </w:rPr>
        <w:t>孵化器</w:t>
      </w:r>
      <w:r>
        <w:rPr>
          <w:rFonts w:cs="方正仿宋_GBK"/>
          <w:color w:val="000000"/>
          <w:kern w:val="0"/>
          <w:szCs w:val="32"/>
          <w:lang w:bidi="ar"/>
        </w:rPr>
        <w:t>+</w:t>
      </w:r>
      <w:r>
        <w:rPr>
          <w:rFonts w:hint="eastAsia" w:cs="方正仿宋_GBK"/>
          <w:color w:val="000000"/>
          <w:kern w:val="0"/>
          <w:szCs w:val="32"/>
          <w:lang w:bidi="ar"/>
        </w:rPr>
        <w:t>加速器</w:t>
      </w:r>
      <w:r>
        <w:rPr>
          <w:rFonts w:cs="方正仿宋_GBK"/>
          <w:color w:val="000000"/>
          <w:kern w:val="0"/>
          <w:szCs w:val="32"/>
          <w:lang w:bidi="ar"/>
        </w:rPr>
        <w:t>+</w:t>
      </w:r>
      <w:r>
        <w:rPr>
          <w:rFonts w:hint="eastAsia" w:cs="方正仿宋_GBK"/>
          <w:color w:val="000000"/>
          <w:kern w:val="0"/>
          <w:szCs w:val="32"/>
          <w:lang w:bidi="ar"/>
        </w:rPr>
        <w:t>产业园区</w:t>
      </w:r>
      <w:r>
        <w:rPr>
          <w:rFonts w:cs="方正仿宋_GBK"/>
          <w:color w:val="000000"/>
          <w:kern w:val="0"/>
          <w:szCs w:val="32"/>
          <w:lang w:bidi="ar"/>
        </w:rPr>
        <w:t>”</w:t>
      </w:r>
      <w:r>
        <w:rPr>
          <w:rFonts w:hint="eastAsia" w:cs="方正仿宋_GBK"/>
          <w:color w:val="000000"/>
          <w:kern w:val="0"/>
          <w:szCs w:val="32"/>
          <w:lang w:bidi="ar"/>
        </w:rPr>
        <w:t>完整体系，构建从项目孵化到产业化的全链条、全周期创业服务机制</w:t>
      </w:r>
      <w:r>
        <w:rPr>
          <w:rFonts w:cs="方正仿宋_GBK"/>
          <w:color w:val="000000"/>
          <w:kern w:val="0"/>
          <w:szCs w:val="32"/>
          <w:lang w:bidi="ar"/>
        </w:rPr>
        <w:t>转</w:t>
      </w:r>
      <w:r>
        <w:rPr>
          <w:rFonts w:hint="eastAsia" w:cs="方正仿宋_GBK"/>
          <w:color w:val="000000"/>
          <w:kern w:val="0"/>
          <w:szCs w:val="32"/>
          <w:lang w:bidi="ar"/>
        </w:rPr>
        <w:t>移链条，保障创新成果就地转移转化。</w:t>
      </w:r>
      <w:r>
        <w:rPr>
          <w:rFonts w:hint="eastAsia" w:cs="方正仿宋_GBK"/>
          <w:szCs w:val="32"/>
        </w:rPr>
        <w:t>依托无锡市科技创新服务中心、无锡市技术产权交易中心等专业机构，完善技术转移服务规范，建立覆盖全产业链条的科技服务体系。加快新技术新产品推广应用，</w:t>
      </w:r>
      <w:r>
        <w:rPr>
          <w:rFonts w:hint="eastAsia"/>
        </w:rPr>
        <w:t>打通创新成果转化“最后一公里”。</w:t>
      </w:r>
    </w:p>
    <w:p>
      <w:pPr>
        <w:widowControl/>
        <w:spacing w:afterLines="0"/>
        <w:ind w:firstLine="640"/>
        <w:outlineLvl w:val="1"/>
        <w:rPr>
          <w:rFonts w:eastAsia="方正楷体_GBK"/>
          <w:szCs w:val="32"/>
        </w:rPr>
      </w:pPr>
      <w:bookmarkStart w:id="45" w:name="_Toc80864465"/>
      <w:r>
        <w:rPr>
          <w:rFonts w:hint="eastAsia" w:eastAsia="方正楷体_GBK"/>
          <w:szCs w:val="32"/>
        </w:rPr>
        <w:t>（三）实施产业基础再造工程，推进产业基础高级化</w:t>
      </w:r>
      <w:bookmarkEnd w:id="45"/>
    </w:p>
    <w:p>
      <w:pPr>
        <w:spacing w:afterLines="0"/>
        <w:ind w:firstLine="640"/>
        <w:rPr>
          <w:szCs w:val="32"/>
        </w:rPr>
      </w:pPr>
      <w:r>
        <w:rPr>
          <w:rFonts w:hint="eastAsia"/>
          <w:szCs w:val="32"/>
        </w:rPr>
        <w:t>聚焦自主可控、安全高效，实施产业基础再造工程，健全产业基础支撑能力，推动传统产业改造提升，筑牢制造业发展根基。</w:t>
      </w:r>
    </w:p>
    <w:p>
      <w:pPr>
        <w:spacing w:afterLines="0"/>
        <w:ind w:firstLine="640"/>
        <w:rPr>
          <w:rFonts w:cs="方正仿宋_GBK"/>
          <w:szCs w:val="32"/>
        </w:rPr>
      </w:pPr>
      <w:r>
        <w:rPr>
          <w:rFonts w:hint="eastAsia" w:eastAsia="方正楷体_GBK"/>
          <w:szCs w:val="32"/>
        </w:rPr>
        <w:t>推动产业基础再造。</w:t>
      </w:r>
      <w:r>
        <w:rPr>
          <w:rFonts w:hint="eastAsia" w:cs="方正仿宋_GBK"/>
          <w:szCs w:val="32"/>
        </w:rPr>
        <w:t>实施一批产业基础再造项目，提升重点产业核心基础零部件（元器件）、关键基础材料、先进基础工艺、产业技术基础和基础软件发展水平。支持首台（套</w:t>
      </w:r>
      <w:r>
        <w:rPr>
          <w:rFonts w:cs="方正仿宋_GBK"/>
          <w:szCs w:val="32"/>
        </w:rPr>
        <w:t>）</w:t>
      </w:r>
      <w:r>
        <w:rPr>
          <w:rFonts w:hint="eastAsia" w:cs="方正仿宋_GBK"/>
          <w:szCs w:val="32"/>
        </w:rPr>
        <w:t>重大装备、首批次新材料、首版次软件研发和推广应用，研制一批国内紧缺的关键产品，发展一批核心基础零部件，推进一批关键材料产业化，</w:t>
      </w:r>
      <w:r>
        <w:rPr>
          <w:rFonts w:hint="eastAsia" w:cs="方正仿宋_GBK"/>
        </w:rPr>
        <w:t>推广一批自主可控工业软件，</w:t>
      </w:r>
      <w:r>
        <w:rPr>
          <w:rFonts w:hint="eastAsia" w:cs="方正仿宋_GBK"/>
          <w:szCs w:val="32"/>
        </w:rPr>
        <w:t>提高自主供给能力。</w:t>
      </w:r>
      <w:r>
        <w:rPr>
          <w:rFonts w:hint="eastAsia" w:cs="方正仿宋_GBK"/>
        </w:rPr>
        <w:t>围绕可靠性试验验证、计量检测、标准制修订、认证认可等领域，建设一批公共服务平台，为产业基础突破与应用提供服务。</w:t>
      </w:r>
      <w:r>
        <w:rPr>
          <w:rFonts w:hint="eastAsia" w:cs="方正仿宋_GBK"/>
          <w:szCs w:val="32"/>
        </w:rPr>
        <w:t>聚焦高端装备赶超，建立短板装备清单和项目库，</w:t>
      </w:r>
      <w:r>
        <w:rPr>
          <w:rFonts w:hint="eastAsia" w:cs="方正仿宋_GBK"/>
        </w:rPr>
        <w:t>到</w:t>
      </w:r>
      <w:r>
        <w:rPr>
          <w:rFonts w:cs="方正仿宋_GBK"/>
        </w:rPr>
        <w:t>2025</w:t>
      </w:r>
      <w:r>
        <w:rPr>
          <w:rFonts w:hint="eastAsia" w:cs="方正仿宋_GBK"/>
        </w:rPr>
        <w:t>年，力争新增市级以上首台（套）重大装备</w:t>
      </w:r>
      <w:r>
        <w:rPr>
          <w:rFonts w:cs="方正仿宋_GBK"/>
        </w:rPr>
        <w:t>50</w:t>
      </w:r>
      <w:r>
        <w:rPr>
          <w:rFonts w:hint="eastAsia" w:cs="方正仿宋_GBK"/>
        </w:rPr>
        <w:t>项（家）。</w:t>
      </w:r>
    </w:p>
    <w:p>
      <w:pPr>
        <w:widowControl/>
        <w:spacing w:after="0" w:afterLines="0"/>
        <w:ind w:firstLine="640"/>
        <w:rPr>
          <w:rFonts w:hint="eastAsia" w:cs="方正仿宋_GBK"/>
        </w:rPr>
      </w:pPr>
      <w:r>
        <w:rPr>
          <w:rFonts w:hint="eastAsia" w:eastAsia="方正楷体_GBK" w:cs="方正楷体_GBK"/>
          <w:szCs w:val="32"/>
        </w:rPr>
        <w:t>推动传统产业提升。</w:t>
      </w:r>
      <w:r>
        <w:t>支持企业围绕新技术、新工艺、新设备、新材料应用实施技术改造，</w:t>
      </w:r>
      <w:r>
        <w:rPr>
          <w:rFonts w:hint="eastAsia"/>
          <w:szCs w:val="32"/>
          <w:lang w:bidi="ar"/>
        </w:rPr>
        <w:t>提升生产效率和产品质量。开展千企技改升级行动，滚动推进一批超千万元技术改造重点项目，</w:t>
      </w:r>
      <w:r>
        <w:t>提高项目工艺技术含量</w:t>
      </w:r>
      <w:r>
        <w:rPr>
          <w:rFonts w:hint="eastAsia"/>
          <w:color w:val="000000"/>
          <w:szCs w:val="32"/>
          <w:lang w:bidi="ar"/>
        </w:rPr>
        <w:t>。</w:t>
      </w:r>
      <w:r>
        <w:rPr>
          <w:rFonts w:hint="eastAsia"/>
          <w:szCs w:val="32"/>
          <w:lang w:bidi="ar"/>
        </w:rPr>
        <w:t>推动企业内部改造和产业链</w:t>
      </w:r>
      <w:r>
        <w:rPr>
          <w:rFonts w:hint="eastAsia"/>
          <w:color w:val="000000"/>
          <w:szCs w:val="32"/>
          <w:lang w:bidi="ar"/>
        </w:rPr>
        <w:t>整体技术改造</w:t>
      </w:r>
      <w:r>
        <w:rPr>
          <w:rFonts w:hint="eastAsia"/>
          <w:szCs w:val="32"/>
          <w:lang w:bidi="ar"/>
        </w:rPr>
        <w:t>相结合，</w:t>
      </w:r>
      <w:r>
        <w:rPr>
          <w:rFonts w:hint="eastAsia"/>
          <w:color w:val="000000"/>
          <w:szCs w:val="32"/>
          <w:lang w:bidi="ar"/>
        </w:rPr>
        <w:t>引导企业深化产业链延伸，对关键领域、薄弱环节和共性问题进行整体技术改造，</w:t>
      </w:r>
      <w:r>
        <w:rPr>
          <w:rFonts w:hint="eastAsia"/>
          <w:szCs w:val="32"/>
          <w:lang w:bidi="ar"/>
        </w:rPr>
        <w:t>提高产业链稳定性、创新性和竞争力。鼓励运用先进技术和工艺淘汰落后产能，对列入淘汰和禁止目录的产品、技术、工艺和装备严格予以淘汰，</w:t>
      </w:r>
      <w:r>
        <w:rPr>
          <w:rFonts w:hint="eastAsia" w:cs="方正仿宋_GBK"/>
        </w:rPr>
        <w:t>在水泥、纺织、印染、电缆等行业引导退出一批低端产能，推动铸造行业加快结构调整。</w:t>
      </w:r>
    </w:p>
    <w:p>
      <w:pPr>
        <w:widowControl/>
        <w:spacing w:before="0" w:beforeLines="0" w:afterLines="0"/>
        <w:ind w:firstLine="640"/>
        <w:rPr>
          <w:szCs w:val="32"/>
          <w:lang w:bidi="ar"/>
        </w:rPr>
      </w:pPr>
      <w:r>
        <w:rPr>
          <w:rFonts w:hint="eastAsia" w:eastAsia="方正楷体_GBK" w:cs="方正楷体_GBK"/>
          <w:szCs w:val="32"/>
        </w:rPr>
        <w:t>推动质量品牌创建。</w:t>
      </w:r>
      <w:r>
        <w:rPr>
          <w:rFonts w:hint="eastAsia" w:cs="方正仿宋_GBK"/>
        </w:rPr>
        <w:t>协同推进质量、品牌、标准建设，继续实施</w:t>
      </w:r>
      <w:r>
        <w:rPr>
          <w:rFonts w:hint="eastAsia" w:cs="方正仿宋_GBK"/>
          <w:szCs w:val="32"/>
          <w:lang w:bidi="ar"/>
        </w:rPr>
        <w:t>增品种、提品质、创品牌“三品”战略，打响“无锡制造”品牌。全面开展质量提升行动，鼓励企业争创政府质量奖、“江苏精品”等各级荣誉，树立质量标杆。鼓励企业壮大“首席质量官”队伍，提升质量管理创新能力。完善品牌建设标准、评价和推广体系，引导企业制定品牌战略规划，支持行业协会为品牌建设提供专业服务。加强经典品牌创新，推进轻工、食品、纺织服装等品牌与文化创意、时尚设计相融合，提升文化内涵和附加值。大力推进“标准化</w:t>
      </w:r>
      <w:r>
        <w:rPr>
          <w:rFonts w:cs="方正仿宋_GBK"/>
          <w:szCs w:val="32"/>
          <w:lang w:bidi="ar"/>
        </w:rPr>
        <w:t>+</w:t>
      </w:r>
      <w:r>
        <w:rPr>
          <w:rFonts w:hint="eastAsia" w:cs="方正仿宋_GBK"/>
          <w:szCs w:val="32"/>
          <w:lang w:bidi="ar"/>
        </w:rPr>
        <w:t>”先进制造行动，鼓励企业积极参与制（修）订国际国内标准，抢占技术竞争话语权。</w:t>
      </w:r>
    </w:p>
    <w:p>
      <w:pPr>
        <w:spacing w:beforeLines="0" w:afterLines="0"/>
        <w:ind w:firstLine="640"/>
        <w:outlineLvl w:val="1"/>
        <w:rPr>
          <w:rFonts w:eastAsia="方正楷体_GBK"/>
          <w:szCs w:val="32"/>
        </w:rPr>
      </w:pPr>
      <w:bookmarkStart w:id="46" w:name="_Toc80864466"/>
      <w:r>
        <w:rPr>
          <w:rFonts w:hint="eastAsia" w:eastAsia="方正楷体_GBK"/>
          <w:szCs w:val="32"/>
        </w:rPr>
        <w:t>（四）实施融合发展工程，促进产业数字化服务化转型</w:t>
      </w:r>
      <w:bookmarkEnd w:id="46"/>
    </w:p>
    <w:p>
      <w:pPr>
        <w:spacing w:beforeLines="0" w:afterLines="0"/>
        <w:ind w:firstLine="640"/>
      </w:pPr>
      <w:r>
        <w:rPr>
          <w:rFonts w:hint="eastAsia"/>
        </w:rPr>
        <w:t>把数字化转型作为制造业转型升级的主抓手，实施融合发展工程，大力推动先进制造业与新一代信息技术、现代服务业深度融合，持续推进企业智能化改造、服务化升级，推动产业向价值链高端延伸。</w:t>
      </w:r>
    </w:p>
    <w:p>
      <w:pPr>
        <w:spacing w:beforeLines="0" w:after="0" w:afterLines="0"/>
        <w:ind w:firstLine="640"/>
      </w:pPr>
      <w:r>
        <w:rPr>
          <w:rFonts w:hint="eastAsia" w:eastAsia="方正楷体_GBK"/>
        </w:rPr>
        <w:t>加快数字化转型步伐。</w:t>
      </w:r>
      <w:r>
        <w:rPr>
          <w:rFonts w:hint="eastAsia" w:cs="方正仿宋_GBK"/>
        </w:rPr>
        <w:t>实施企业数字化转型“十百千万”工程，推动新一代信息技术加速向制造业各领域融合渗透，聚焦产品设计、生产、物流、销售和服务等产品生命周期全过程，提升数字采集和集成应用能力。建设市级工业大数据平台，推动工业数据全面采集和开放共享，培育工业大数据应用示范区。发展以数据驱动为特征的制造业新模式新业态，</w:t>
      </w:r>
      <w:r>
        <w:rPr>
          <w:rFonts w:hint="eastAsia"/>
        </w:rPr>
        <w:t>探索“数字</w:t>
      </w:r>
      <w:r>
        <w:t>+</w:t>
      </w:r>
      <w:r>
        <w:rPr>
          <w:rFonts w:hint="eastAsia"/>
        </w:rPr>
        <w:t>制造”，赋能企业数字化转型。</w:t>
      </w:r>
      <w:r>
        <w:rPr>
          <w:rFonts w:hint="eastAsia" w:cs="方正仿宋_GBK"/>
        </w:rPr>
        <w:t>支持“链主”企业、第三方机构等联合开展基于数字化的协同采购、协同制造、协同配送，</w:t>
      </w:r>
      <w:r>
        <w:rPr>
          <w:rFonts w:hint="eastAsia"/>
          <w:szCs w:val="32"/>
        </w:rPr>
        <w:t>带动产业链供应链上下游开展数字化升级，形成信息集聚、数据融通的区域产业新优势。</w:t>
      </w:r>
      <w:r>
        <w:rPr>
          <w:rFonts w:hint="eastAsia" w:cs="方正仿宋_GBK"/>
        </w:rPr>
        <w:t>加强工业数据安全产品研发，全面保障数据安全。</w:t>
      </w:r>
    </w:p>
    <w:p>
      <w:pPr>
        <w:spacing w:before="0" w:beforeLines="-2147483648"/>
        <w:ind w:firstLine="640"/>
        <w:rPr>
          <w:rFonts w:cs="方正仿宋_GBK"/>
          <w:color w:val="000000" w:themeColor="text1"/>
          <w:szCs w:val="32"/>
          <w14:textFill>
            <w14:solidFill>
              <w14:schemeClr w14:val="tx1"/>
            </w14:solidFill>
          </w14:textFill>
        </w:rPr>
      </w:pPr>
      <w:r>
        <w:rPr>
          <w:rFonts w:hint="eastAsia" w:eastAsia="方正楷体_GBK"/>
        </w:rPr>
        <w:t>强化工业互联网平台支撑。</w:t>
      </w:r>
      <w:r>
        <w:rPr>
          <w:rFonts w:hint="eastAsia"/>
        </w:rPr>
        <w:t>大力</w:t>
      </w:r>
      <w:r>
        <w:rPr>
          <w:rFonts w:hint="eastAsia" w:cs="方正仿宋_GBK"/>
        </w:rPr>
        <w:t>提升网络支撑能力，加速推进“双千兆”（</w:t>
      </w:r>
      <w:r>
        <w:t>5G</w:t>
      </w:r>
      <w:r>
        <w:rPr>
          <w:rFonts w:hint="eastAsia" w:cs="方正仿宋_GBK"/>
        </w:rPr>
        <w:t>、千兆光网）建设和部署，</w:t>
      </w:r>
      <w:r>
        <w:rPr>
          <w:rFonts w:hint="eastAsia" w:cs="方正仿宋_GBK"/>
          <w:color w:val="000000" w:themeColor="text1"/>
          <w:szCs w:val="32"/>
          <w14:textFill>
            <w14:solidFill>
              <w14:schemeClr w14:val="tx1"/>
            </w14:solidFill>
          </w14:textFill>
        </w:rPr>
        <w:t>实现区域全面覆盖，工业园区、重点企业深度覆盖；</w:t>
      </w:r>
      <w:r>
        <w:rPr>
          <w:rFonts w:hint="eastAsia" w:cs="方正仿宋_GBK"/>
        </w:rPr>
        <w:t>利用</w:t>
      </w:r>
      <w:r>
        <w:t>5G</w:t>
      </w:r>
      <w:r>
        <w:rPr>
          <w:rFonts w:hint="eastAsia"/>
        </w:rPr>
        <w:t>、</w:t>
      </w:r>
      <w:r>
        <w:rPr>
          <w:rFonts w:hint="eastAsia" w:cs="方正仿宋_GBK"/>
        </w:rPr>
        <w:t>万兆无源光纤网络、网络切片、边缘计算（</w:t>
      </w:r>
      <w:r>
        <w:t>MEC</w:t>
      </w:r>
      <w:r>
        <w:rPr>
          <w:rFonts w:hint="eastAsia" w:cs="方正仿宋_GBK"/>
        </w:rPr>
        <w:t>）等技术全面改造工业互联网内外网，创建国家“</w:t>
      </w:r>
      <w:r>
        <w:t>5G+</w:t>
      </w:r>
      <w:r>
        <w:rPr>
          <w:rFonts w:hint="eastAsia" w:cs="方正仿宋_GBK"/>
        </w:rPr>
        <w:t>工业互联网”融合应用先导区。</w:t>
      </w:r>
      <w:r>
        <w:rPr>
          <w:rFonts w:hint="eastAsia" w:cs="方正仿宋_GBK"/>
          <w:color w:val="000000" w:themeColor="text1"/>
          <w:szCs w:val="32"/>
          <w14:textFill>
            <w14:solidFill>
              <w14:schemeClr w14:val="tx1"/>
            </w14:solidFill>
          </w14:textFill>
        </w:rPr>
        <w:t>推进工业互联网标识解析体系建设，</w:t>
      </w:r>
      <w:r>
        <w:rPr>
          <w:rFonts w:hint="eastAsia"/>
          <w:kern w:val="0"/>
        </w:rPr>
        <w:t>推动标识解析应用规模化发展，持续扩大生态影响力。</w:t>
      </w:r>
      <w:r>
        <w:rPr>
          <w:rFonts w:hint="eastAsia" w:cs="方正仿宋_GBK"/>
          <w:color w:val="000000" w:themeColor="text1"/>
          <w:szCs w:val="32"/>
          <w14:textFill>
            <w14:solidFill>
              <w14:schemeClr w14:val="tx1"/>
            </w14:solidFill>
          </w14:textFill>
        </w:rPr>
        <w:t>提升工业互联网平台建设和应用水平，鼓励重点企业建设面向自身及行业的工业互联网平台，丰富完善工业互联网产业生态供给资源池。加快企业上云进程，推动企业基础设施、业务应用、产品设备、平台系统等广泛连接工业互联网。</w:t>
      </w:r>
    </w:p>
    <w:p>
      <w:pPr>
        <w:ind w:firstLine="640"/>
        <w:rPr>
          <w:color w:val="000000" w:themeColor="text1"/>
          <w:szCs w:val="32"/>
          <w14:textFill>
            <w14:solidFill>
              <w14:schemeClr w14:val="tx1"/>
            </w14:solidFill>
          </w14:textFill>
        </w:rPr>
      </w:pPr>
      <w:r>
        <w:rPr>
          <w:rFonts w:hint="eastAsia" w:eastAsia="方正楷体_GBK"/>
        </w:rPr>
        <w:t>推进企业智能化改造。</w:t>
      </w:r>
      <w:r>
        <w:rPr>
          <w:rFonts w:hint="eastAsia"/>
          <w:szCs w:val="32"/>
        </w:rPr>
        <w:t>加快企业“设备换芯、生产换线、机器换人”步伐，引导企业加大智能装备研制及应用力度，开展现有装备数字化改造和关键工序核心装备升级换代，优化改进工艺流程和组织方式，大幅提升制造业企业智能制造整体水平。鼓励发展离散型、流程型、网络协同、大规模个性化定制等新模式，推进智能制造示范建设，创建标杆企业。</w:t>
      </w:r>
      <w:r>
        <w:rPr>
          <w:rFonts w:hint="eastAsia"/>
          <w:color w:val="000000"/>
          <w:szCs w:val="32"/>
        </w:rPr>
        <w:t>加快构建智能制造创新体系，提升关键技术攻关、标准与规范研制水平。</w:t>
      </w:r>
      <w:r>
        <w:rPr>
          <w:rFonts w:hint="eastAsia" w:cs="方正仿宋_GBK"/>
        </w:rPr>
        <w:t>完善智能制造服务体系，</w:t>
      </w:r>
      <w:r>
        <w:rPr>
          <w:rFonts w:hint="eastAsia"/>
          <w:szCs w:val="32"/>
        </w:rPr>
        <w:t>引育一批智能制造领域的专业服务机构和系统解决方案商，为企业提供智能化诊断、改造优化咨询、专业解决方案等多元化服务</w:t>
      </w:r>
      <w:r>
        <w:rPr>
          <w:rFonts w:hint="eastAsia"/>
          <w:color w:val="000000"/>
          <w:szCs w:val="32"/>
        </w:rPr>
        <w:t>。到2</w:t>
      </w:r>
      <w:r>
        <w:rPr>
          <w:color w:val="000000"/>
          <w:szCs w:val="32"/>
        </w:rPr>
        <w:t>025</w:t>
      </w:r>
      <w:r>
        <w:rPr>
          <w:rFonts w:hint="eastAsia"/>
          <w:color w:val="000000"/>
          <w:szCs w:val="32"/>
        </w:rPr>
        <w:t>年，培育3</w:t>
      </w:r>
      <w:r>
        <w:rPr>
          <w:color w:val="000000"/>
          <w:szCs w:val="32"/>
        </w:rPr>
        <w:t>00</w:t>
      </w:r>
      <w:r>
        <w:rPr>
          <w:rFonts w:hint="eastAsia"/>
          <w:color w:val="000000"/>
          <w:szCs w:val="32"/>
        </w:rPr>
        <w:t>个智能化应用场景，每年创建标杆5</w:t>
      </w:r>
      <w:r>
        <w:rPr>
          <w:color w:val="000000"/>
          <w:szCs w:val="32"/>
        </w:rPr>
        <w:t>00</w:t>
      </w:r>
      <w:r>
        <w:rPr>
          <w:rFonts w:hint="eastAsia"/>
          <w:color w:val="000000"/>
          <w:szCs w:val="32"/>
        </w:rPr>
        <w:t>个以上。</w:t>
      </w:r>
    </w:p>
    <w:p>
      <w:pPr>
        <w:spacing w:after="0" w:afterLines="-2147483648"/>
        <w:ind w:firstLine="640"/>
      </w:pPr>
      <w:r>
        <w:rPr>
          <w:rFonts w:hint="eastAsia" w:eastAsia="方正楷体_GBK"/>
        </w:rPr>
        <w:t>大力发展服务型制造。</w:t>
      </w:r>
      <w:r>
        <w:rPr>
          <w:rFonts w:hint="eastAsia"/>
        </w:rPr>
        <w:t>大力推广定制化服务、供应链管理、检验检测认证服务、全生命周期管理、总集成总承包、节能环保服务、生产性金融服务等服务型制造新模式，鼓励制造企业向服务环节延伸，在研发、设计、物流、营销、品牌推广、系统集成等方面形成一批重点项目。引培一批高水平制造服务供给主体，持续推动服务模式创新，不断增加服务要素在投入和产出中的比重，创新多种形式“产品+服务”经营模式。到2025年，全市新增国家级服务型制造示范企业、平台、项目5家，新增省级及以上服务型制造示范企业、平台、项目30家。</w:t>
      </w:r>
    </w:p>
    <w:p>
      <w:pPr>
        <w:spacing w:before="0" w:beforeLines="-2147483648"/>
        <w:ind w:firstLine="640"/>
        <w:outlineLvl w:val="1"/>
        <w:rPr>
          <w:rFonts w:eastAsia="方正楷体_GBK"/>
          <w:szCs w:val="32"/>
        </w:rPr>
      </w:pPr>
      <w:bookmarkStart w:id="47" w:name="_Toc80864467"/>
      <w:r>
        <w:rPr>
          <w:rFonts w:hint="eastAsia" w:eastAsia="方正楷体_GBK"/>
          <w:szCs w:val="32"/>
        </w:rPr>
        <w:t>（五）实施企业梯次培育工程，壮大制造业主体力量</w:t>
      </w:r>
      <w:bookmarkEnd w:id="47"/>
    </w:p>
    <w:p>
      <w:pPr>
        <w:autoSpaceDE w:val="0"/>
        <w:autoSpaceDN w:val="0"/>
        <w:snapToGrid w:val="0"/>
        <w:ind w:firstLine="640"/>
        <w:rPr>
          <w:rFonts w:cs="方正仿宋_GBK"/>
          <w:bCs/>
          <w:kern w:val="0"/>
          <w:szCs w:val="32"/>
        </w:rPr>
      </w:pPr>
      <w:r>
        <w:rPr>
          <w:rFonts w:hint="eastAsia" w:cs="方正仿宋_GBK"/>
          <w:bCs/>
          <w:kern w:val="0"/>
          <w:szCs w:val="32"/>
        </w:rPr>
        <w:t>深入实施企业梯次培育工程，打造以占据产业链价值链高端环节的龙头企业为引领，具有细分领域控制力的隐形冠军、专精特新小巨人企业为支撑，大中小企业协同并进的产业主体矩阵，持续夯实制造业主体力量。</w:t>
      </w:r>
    </w:p>
    <w:p>
      <w:pPr>
        <w:ind w:firstLine="640"/>
        <w:rPr>
          <w:color w:val="000000"/>
          <w:szCs w:val="32"/>
        </w:rPr>
      </w:pPr>
      <w:r>
        <w:rPr>
          <w:rFonts w:hint="eastAsia" w:eastAsia="方正楷体_GBK"/>
        </w:rPr>
        <w:t>推动龙头企业能级提升。</w:t>
      </w:r>
      <w:r>
        <w:rPr>
          <w:rFonts w:hint="eastAsia" w:cs="方正仿宋_GBK"/>
        </w:rPr>
        <w:t>聚焦具有规模优势、产业链整合能力较强的终端产品企业、高端创新资源集聚与新模式新业态孵化能力强的总部企业，引育一批龙头企业、链主企业。</w:t>
      </w:r>
      <w:r>
        <w:rPr>
          <w:rFonts w:hint="eastAsia" w:cs="方正仿宋_GBK"/>
          <w:color w:val="000000" w:themeColor="text1"/>
          <w14:textFill>
            <w14:solidFill>
              <w14:schemeClr w14:val="tx1"/>
            </w14:solidFill>
          </w14:textFill>
        </w:rPr>
        <w:t>开展“百企引航”行动，引导支持企业创新升级、技术升级、信息化升级、绿色升级以及管理升级，培育一批现代化企业。</w:t>
      </w:r>
      <w:r>
        <w:rPr>
          <w:rFonts w:hint="eastAsia" w:cs="方正仿宋_GBK"/>
        </w:rPr>
        <w:t>鼓励企业通过兼并重组、产业链延伸、商业模式创新等方式，提高综合竞争力。加强企业上市服务，鼓励企业用好资本市场做大做强。到</w:t>
      </w:r>
      <w:r>
        <w:rPr>
          <w:rFonts w:cs="方正仿宋_GBK"/>
        </w:rPr>
        <w:t>2025</w:t>
      </w:r>
      <w:r>
        <w:rPr>
          <w:rFonts w:hint="eastAsia" w:cs="方正仿宋_GBK"/>
        </w:rPr>
        <w:t>年，力争营收超百亿元企业</w:t>
      </w:r>
      <w:r>
        <w:rPr>
          <w:rFonts w:hint="eastAsia" w:cs="方正仿宋_GBK"/>
          <w:lang w:eastAsia="zh-CN"/>
        </w:rPr>
        <w:t>达</w:t>
      </w:r>
      <w:r>
        <w:rPr>
          <w:rFonts w:hint="eastAsia" w:cs="方正仿宋_GBK"/>
          <w:lang w:val="en-US" w:eastAsia="zh-CN"/>
        </w:rPr>
        <w:t>45</w:t>
      </w:r>
      <w:r>
        <w:rPr>
          <w:rFonts w:hint="eastAsia" w:cs="方正仿宋_GBK"/>
        </w:rPr>
        <w:t>家</w:t>
      </w:r>
      <w:r>
        <w:rPr>
          <w:rFonts w:hint="eastAsia" w:cs="方正仿宋_GBK"/>
          <w:lang w:eastAsia="zh-CN"/>
        </w:rPr>
        <w:t>左右</w:t>
      </w:r>
      <w:r>
        <w:rPr>
          <w:rFonts w:hint="eastAsia" w:cs="方正仿宋_GBK"/>
          <w:color w:val="000000"/>
          <w:szCs w:val="32"/>
        </w:rPr>
        <w:t>。</w:t>
      </w:r>
    </w:p>
    <w:p>
      <w:pPr>
        <w:keepNext w:val="0"/>
        <w:keepLines w:val="0"/>
        <w:pageBreakBefore w:val="0"/>
        <w:widowControl w:val="0"/>
        <w:kinsoku/>
        <w:wordWrap/>
        <w:overflowPunct/>
        <w:topLinePunct w:val="0"/>
        <w:bidi w:val="0"/>
        <w:adjustRightInd/>
        <w:ind w:firstLine="640"/>
        <w:textAlignment w:val="auto"/>
        <w:rPr>
          <w:rFonts w:cs="方正仿宋_GBK"/>
        </w:rPr>
      </w:pPr>
      <w:r>
        <w:rPr>
          <w:rFonts w:hint="eastAsia" w:eastAsia="方正楷体_GBK"/>
        </w:rPr>
        <w:t>激发中小企业发展活力。</w:t>
      </w:r>
      <w:r>
        <w:rPr>
          <w:rFonts w:hint="eastAsia" w:cs="方正仿宋_GBK"/>
        </w:rPr>
        <w:t>聚焦重点产业链关键环节和关键领域，建立健全单项冠军企业、隐形冠军企业、专精特新小巨人企业、独角兽企业、瞪羚企业、雏鹰企业等分类评价和分级滚动培育机制，鼓励企业走专业化、精细化、特色化发展之路。大力发展</w:t>
      </w:r>
      <w:r>
        <w:rPr>
          <w:rFonts w:hint="eastAsia"/>
        </w:rPr>
        <w:t>风险投资、专业咨询、一站式服务、高效共享的研发实验室和检验检测平台等服务，赋能初创企业和高成长性企业发展。</w:t>
      </w:r>
      <w:r>
        <w:rPr>
          <w:rFonts w:hint="eastAsia" w:cs="方正仿宋_GBK"/>
        </w:rPr>
        <w:t>深入开展“千企升级”行动，引导企业传承“工匠精神”，在细分领域“深根细作”，提高细分领域掌控力和话语权。实施专精特新企业培育计划，</w:t>
      </w:r>
      <w:r>
        <w:rPr>
          <w:rFonts w:hint="eastAsia"/>
          <w:highlight w:val="none"/>
        </w:rPr>
        <w:t>引导企业瞄准前沿关键技术、战略支撑技术、终端消费革新等开展定向创新。</w:t>
      </w:r>
      <w:r>
        <w:rPr>
          <w:rFonts w:hint="eastAsia" w:cs="方正仿宋_GBK"/>
        </w:rPr>
        <w:t>到</w:t>
      </w:r>
      <w:r>
        <w:rPr>
          <w:rFonts w:cs="方正仿宋_GBK"/>
        </w:rPr>
        <w:t>2025</w:t>
      </w:r>
      <w:r>
        <w:rPr>
          <w:rFonts w:hint="eastAsia" w:cs="方正仿宋_GBK"/>
        </w:rPr>
        <w:t>年，力争全市新增国家级专精特新小巨人企业</w:t>
      </w:r>
      <w:r>
        <w:rPr>
          <w:rFonts w:cs="方正仿宋_GBK"/>
        </w:rPr>
        <w:t>50</w:t>
      </w:r>
      <w:r>
        <w:rPr>
          <w:rFonts w:hint="eastAsia" w:cs="方正仿宋_GBK"/>
        </w:rPr>
        <w:t>家、省级</w:t>
      </w:r>
      <w:r>
        <w:rPr>
          <w:rFonts w:cs="方正仿宋_GBK"/>
        </w:rPr>
        <w:t>150</w:t>
      </w:r>
      <w:r>
        <w:rPr>
          <w:rFonts w:hint="eastAsia" w:cs="方正仿宋_GBK"/>
        </w:rPr>
        <w:t>家、市级2</w:t>
      </w:r>
      <w:r>
        <w:rPr>
          <w:rFonts w:cs="方正仿宋_GBK"/>
        </w:rPr>
        <w:t>50</w:t>
      </w:r>
      <w:r>
        <w:rPr>
          <w:rFonts w:hint="eastAsia" w:cs="方正仿宋_GBK"/>
        </w:rPr>
        <w:t>家。</w:t>
      </w:r>
    </w:p>
    <w:p>
      <w:pPr>
        <w:keepNext w:val="0"/>
        <w:keepLines w:val="0"/>
        <w:pageBreakBefore w:val="0"/>
        <w:widowControl w:val="0"/>
        <w:kinsoku/>
        <w:wordWrap/>
        <w:overflowPunct/>
        <w:topLinePunct w:val="0"/>
        <w:autoSpaceDE w:val="0"/>
        <w:autoSpaceDN w:val="0"/>
        <w:bidi w:val="0"/>
        <w:adjustRightInd/>
        <w:snapToGrid w:val="0"/>
        <w:ind w:firstLine="640"/>
        <w:textAlignment w:val="auto"/>
      </w:pPr>
      <w:r>
        <w:rPr>
          <w:rFonts w:hint="eastAsia" w:eastAsia="方正楷体_GBK"/>
        </w:rPr>
        <w:t>促进大中小企业融通发展。</w:t>
      </w:r>
      <w:r>
        <w:rPr>
          <w:rFonts w:hint="eastAsia"/>
        </w:rPr>
        <w:t>以构建大企业与中小企业协同创新、共享资源、融合发展的产业生态为目标，充分发挥龙头企业引领带动作用，鼓励以整机、成套设备、终端产品为代表的龙头企业发布产品需求、技术指标等信息，促进产业链上下游、大中小企业信息联通、订单共享、产能对接、品牌共建、高效协作，构建大中小企业融通发展生态。支持中小企业围绕龙头企业产业链、供应链，优化布局产品生产，加快融入全球、全国领军企业供应链。建立产业供需合作平台，实现企业供需信息动态更新、智能匹配推送、产业链公共信息共享，畅通产业链协作配套。</w:t>
      </w:r>
      <w:bookmarkEnd w:id="42"/>
      <w:bookmarkStart w:id="48" w:name="_Toc71735079"/>
    </w:p>
    <w:p>
      <w:pPr>
        <w:autoSpaceDE w:val="0"/>
        <w:autoSpaceDN w:val="0"/>
        <w:snapToGrid w:val="0"/>
        <w:ind w:firstLine="640"/>
        <w:outlineLvl w:val="1"/>
        <w:rPr>
          <w:rFonts w:eastAsia="方正楷体_GBK"/>
          <w:kern w:val="0"/>
          <w:szCs w:val="32"/>
        </w:rPr>
      </w:pPr>
      <w:bookmarkStart w:id="49" w:name="_Toc80864468"/>
      <w:r>
        <w:rPr>
          <w:rFonts w:hint="eastAsia" w:eastAsia="方正楷体_GBK"/>
          <w:kern w:val="0"/>
          <w:szCs w:val="32"/>
        </w:rPr>
        <w:t>（六）实施绿色安全集约发展工程，推动制造业可持续发展</w:t>
      </w:r>
      <w:bookmarkEnd w:id="48"/>
      <w:bookmarkEnd w:id="49"/>
    </w:p>
    <w:p>
      <w:pPr>
        <w:autoSpaceDE w:val="0"/>
        <w:autoSpaceDN w:val="0"/>
        <w:snapToGrid w:val="0"/>
        <w:ind w:firstLine="640"/>
        <w:rPr>
          <w:kern w:val="0"/>
        </w:rPr>
      </w:pPr>
      <w:r>
        <w:rPr>
          <w:rFonts w:hint="eastAsia"/>
          <w:kern w:val="0"/>
        </w:rPr>
        <w:t>深入践行新发展理念，实施绿色安全集约发展工程，完善安全生产长效机制，严格落实《长江保护法》等法律法规，坚持生态环境保护融入制造业发展全过程，构建高层次绿色制造体系，促进资源高效集约利用，不断提高制造业发展“含绿量”。</w:t>
      </w:r>
    </w:p>
    <w:p>
      <w:pPr>
        <w:autoSpaceDE w:val="0"/>
        <w:autoSpaceDN w:val="0"/>
        <w:snapToGrid w:val="0"/>
        <w:ind w:firstLine="640"/>
        <w:rPr>
          <w:kern w:val="0"/>
        </w:rPr>
      </w:pPr>
      <w:r>
        <w:rPr>
          <w:rFonts w:hint="eastAsia" w:eastAsia="方正楷体_GBK"/>
          <w:kern w:val="0"/>
        </w:rPr>
        <w:t>推动安全生产整治提升。</w:t>
      </w:r>
      <w:r>
        <w:rPr>
          <w:rFonts w:hint="eastAsia"/>
          <w:szCs w:val="32"/>
        </w:rPr>
        <w:t>落实安全生产管理责任，完善安全生产工作机制，健全安全生产管理体系，从行业规划、产业政策、法规标准、行政许可等方面指导督促工业企业加强安全管理。加强对安全生产问题的调查研究，针对重点行业存在的共性风险因素及安全隐患，综合利用产业政策、法规标准、技术改造、化解过剩产能等手段防范化解风险隐患，倒逼企业转型，促进源头治理。聚焦自然灾害、事故灾难、公共卫生、社会安全等四类突发事件预防和应急处置需求，鼓励企业研发先进、急需的安全（应急）技术、产品、装备和服务，推动安全（应急）产业加快发展。强化民爆、船舶行业安全生产监管，不断提高安全红线意识、风险防控效能、安全管理能力、事故防范效果和安全治理水平。</w:t>
      </w:r>
    </w:p>
    <w:p>
      <w:pPr>
        <w:keepNext w:val="0"/>
        <w:keepLines w:val="0"/>
        <w:pageBreakBefore w:val="0"/>
        <w:widowControl w:val="0"/>
        <w:kinsoku/>
        <w:wordWrap/>
        <w:overflowPunct/>
        <w:topLinePunct w:val="0"/>
        <w:bidi w:val="0"/>
        <w:adjustRightInd w:val="0"/>
        <w:ind w:firstLine="640"/>
        <w:textAlignment w:val="auto"/>
        <w:rPr>
          <w:rFonts w:cs="方正仿宋_GBK"/>
        </w:rPr>
      </w:pPr>
      <w:r>
        <w:rPr>
          <w:rFonts w:hint="eastAsia" w:eastAsia="方正楷体_GBK"/>
          <w:kern w:val="0"/>
        </w:rPr>
        <w:t>推动绿色制造示范引领。</w:t>
      </w:r>
      <w:r>
        <w:rPr>
          <w:rFonts w:hint="eastAsia" w:cs="方正仿宋_GBK"/>
        </w:rPr>
        <w:t>认真落实碳达峰碳中和部署要求，加快绿色低碳技术研发应用，加强可再生能源推广，推进脱碳技术、固</w:t>
      </w:r>
      <w:r>
        <w:rPr>
          <w:rFonts w:cs="方正仿宋_GBK"/>
        </w:rPr>
        <w:t>碳资源供给、控碳服务</w:t>
      </w:r>
      <w:r>
        <w:rPr>
          <w:rFonts w:hint="eastAsia" w:cs="方正仿宋_GBK"/>
        </w:rPr>
        <w:t>支撑体系</w:t>
      </w:r>
      <w:r>
        <w:rPr>
          <w:rFonts w:cs="方正仿宋_GBK"/>
        </w:rPr>
        <w:t>建设</w:t>
      </w:r>
      <w:r>
        <w:rPr>
          <w:rFonts w:hint="eastAsia" w:cs="方正仿宋_GBK"/>
        </w:rPr>
        <w:t>，积极打造</w:t>
      </w:r>
      <w:r>
        <w:rPr>
          <w:rFonts w:cs="方正仿宋_GBK"/>
        </w:rPr>
        <w:t>零碳科技产业园、零碳基金、碳中和示范区、创新</w:t>
      </w:r>
      <w:r>
        <w:rPr>
          <w:rFonts w:hint="eastAsia" w:cs="方正仿宋_GBK"/>
        </w:rPr>
        <w:t>零碳</w:t>
      </w:r>
      <w:r>
        <w:rPr>
          <w:rFonts w:cs="方正仿宋_GBK"/>
        </w:rPr>
        <w:t>谷</w:t>
      </w:r>
      <w:r>
        <w:rPr>
          <w:rFonts w:hint="eastAsia" w:cs="方正仿宋_GBK"/>
        </w:rPr>
        <w:t>。加强严格</w:t>
      </w:r>
      <w:r>
        <w:rPr>
          <w:rFonts w:cs="方正仿宋_GBK"/>
        </w:rPr>
        <w:t>节能审查</w:t>
      </w:r>
      <w:r>
        <w:rPr>
          <w:rFonts w:hint="eastAsia" w:cs="方正仿宋_GBK"/>
        </w:rPr>
        <w:t>、能耗“双控”</w:t>
      </w:r>
      <w:r>
        <w:rPr>
          <w:rFonts w:cs="方正仿宋_GBK"/>
        </w:rPr>
        <w:t>和节能量交易制度，</w:t>
      </w:r>
      <w:r>
        <w:rPr>
          <w:rFonts w:hint="eastAsia" w:cs="方正仿宋_GBK"/>
        </w:rPr>
        <w:t>落实产能置换政策，</w:t>
      </w:r>
      <w:r>
        <w:rPr>
          <w:rFonts w:hint="eastAsia"/>
          <w:kern w:val="0"/>
        </w:rPr>
        <w:t>坚决遏制“两高”项目盲目发展，</w:t>
      </w:r>
      <w:r>
        <w:rPr>
          <w:rFonts w:hint="eastAsia" w:cs="方正仿宋_GBK"/>
        </w:rPr>
        <w:t>严控高耗能行业增长，探索开展碳排放交易。优化制造业能源结构，提高绿色能源使用比例。加强资源循环利用，促进工业固废综合利用，推进工业余热、余压、余能应用，优化区域和企业用能系统。围绕绿色产品、绿色工厂、绿色园区和绿色供应链，促进绿色生产和绿色消费，发展再制造产品，提升企业绿色生产管理和清洁生产水平，构建高效、清洁、低碳、循环的绿色制造体系。</w:t>
      </w:r>
    </w:p>
    <w:p>
      <w:pPr>
        <w:keepNext w:val="0"/>
        <w:keepLines w:val="0"/>
        <w:pageBreakBefore w:val="0"/>
        <w:widowControl w:val="0"/>
        <w:kinsoku/>
        <w:wordWrap/>
        <w:overflowPunct/>
        <w:topLinePunct w:val="0"/>
        <w:autoSpaceDE w:val="0"/>
        <w:autoSpaceDN w:val="0"/>
        <w:bidi w:val="0"/>
        <w:adjustRightInd/>
        <w:snapToGrid w:val="0"/>
        <w:spacing w:before="0"/>
        <w:ind w:firstLine="640"/>
        <w:textAlignment w:val="auto"/>
        <w:rPr>
          <w:szCs w:val="32"/>
        </w:rPr>
      </w:pPr>
      <w:r>
        <w:rPr>
          <w:rFonts w:hint="eastAsia" w:eastAsia="方正楷体_GBK"/>
          <w:kern w:val="0"/>
        </w:rPr>
        <w:t>推动产业高效集约发展。</w:t>
      </w:r>
      <w:r>
        <w:rPr>
          <w:rFonts w:hint="eastAsia"/>
          <w:bCs/>
          <w:szCs w:val="32"/>
        </w:rPr>
        <w:t>优化工业园区、工业集中区建设，推动低效园区改造提升、智慧化升级。大力发展总部经济，积极培育本土总部企业、招引国内外总部企业，鼓励劳动密集型制造企业向总部化转型，依托现有开发区、产业园区等载体，盘活存量楼宇，推动总部经济集聚发展。</w:t>
      </w:r>
      <w:r>
        <w:rPr>
          <w:rFonts w:hint="eastAsia"/>
          <w:color w:val="000000"/>
          <w:szCs w:val="32"/>
          <w:u w:color="000000"/>
          <w:lang w:eastAsia="zh-TW"/>
        </w:rPr>
        <w:t>牢固树立“亩产论英雄、质效为核心”的发展导向，</w:t>
      </w:r>
      <w:r>
        <w:rPr>
          <w:rFonts w:hint="eastAsia"/>
          <w:bCs/>
          <w:szCs w:val="32"/>
        </w:rPr>
        <w:t>持续推进工业企业资源利用绩效评价，完善落实差别化税收政策、工业用地政策、水电气政策、排污政策、信贷政策、产业扶持和政府采购政策，</w:t>
      </w:r>
      <w:r>
        <w:rPr>
          <w:rFonts w:hint="eastAsia"/>
          <w:kern w:val="0"/>
        </w:rPr>
        <w:t>坚持“正向激励”与“反向倒逼”双重发力，为优质企业发展集聚资源、腾挪空间。</w:t>
      </w:r>
    </w:p>
    <w:p>
      <w:pPr>
        <w:keepNext w:val="0"/>
        <w:keepLines w:val="0"/>
        <w:pageBreakBefore w:val="0"/>
        <w:widowControl w:val="0"/>
        <w:kinsoku/>
        <w:wordWrap/>
        <w:overflowPunct/>
        <w:topLinePunct w:val="0"/>
        <w:autoSpaceDE w:val="0"/>
        <w:autoSpaceDN w:val="0"/>
        <w:bidi w:val="0"/>
        <w:adjustRightInd/>
        <w:snapToGrid w:val="0"/>
        <w:ind w:firstLine="640"/>
        <w:textAlignment w:val="auto"/>
        <w:outlineLvl w:val="1"/>
        <w:rPr>
          <w:rFonts w:eastAsia="方正楷体_GBK"/>
          <w:kern w:val="0"/>
          <w:szCs w:val="32"/>
        </w:rPr>
      </w:pPr>
      <w:bookmarkStart w:id="50" w:name="_Toc80864469"/>
      <w:bookmarkStart w:id="51" w:name="_Toc71735080"/>
      <w:r>
        <w:rPr>
          <w:rFonts w:hint="eastAsia" w:eastAsia="方正楷体_GBK"/>
          <w:kern w:val="0"/>
          <w:szCs w:val="32"/>
        </w:rPr>
        <w:t>（七）实施内外开放合作工程，加快融入双循环新发展格局</w:t>
      </w:r>
      <w:bookmarkEnd w:id="50"/>
      <w:bookmarkEnd w:id="51"/>
    </w:p>
    <w:p>
      <w:pPr>
        <w:keepNext w:val="0"/>
        <w:keepLines w:val="0"/>
        <w:pageBreakBefore w:val="0"/>
        <w:widowControl w:val="0"/>
        <w:kinsoku/>
        <w:wordWrap/>
        <w:overflowPunct/>
        <w:topLinePunct w:val="0"/>
        <w:autoSpaceDE w:val="0"/>
        <w:autoSpaceDN w:val="0"/>
        <w:bidi w:val="0"/>
        <w:adjustRightInd/>
        <w:snapToGrid w:val="0"/>
        <w:ind w:firstLine="640"/>
        <w:textAlignment w:val="auto"/>
        <w:rPr>
          <w:color w:val="000000"/>
          <w:kern w:val="0"/>
          <w:szCs w:val="32"/>
        </w:rPr>
      </w:pPr>
      <w:r>
        <w:rPr>
          <w:rFonts w:hint="eastAsia"/>
          <w:color w:val="000000"/>
          <w:kern w:val="0"/>
          <w:szCs w:val="32"/>
        </w:rPr>
        <w:t>抢抓“一带一路”交汇点建设和扩大内需市场的历史机遇，实施内外开放合作工程，以市域产业一体化为基础，融入多层次区域一体化发展大局，加快融入双循环新发展格局。</w:t>
      </w:r>
    </w:p>
    <w:p>
      <w:pPr>
        <w:keepNext w:val="0"/>
        <w:keepLines w:val="0"/>
        <w:pageBreakBefore w:val="0"/>
        <w:widowControl w:val="0"/>
        <w:kinsoku/>
        <w:wordWrap/>
        <w:overflowPunct/>
        <w:topLinePunct w:val="0"/>
        <w:autoSpaceDE w:val="0"/>
        <w:autoSpaceDN w:val="0"/>
        <w:bidi w:val="0"/>
        <w:adjustRightInd/>
        <w:snapToGrid w:val="0"/>
        <w:ind w:firstLine="640"/>
        <w:textAlignment w:val="auto"/>
        <w:rPr>
          <w:color w:val="000000"/>
          <w:kern w:val="0"/>
          <w:szCs w:val="32"/>
        </w:rPr>
      </w:pPr>
      <w:r>
        <w:rPr>
          <w:rFonts w:hint="eastAsia" w:eastAsia="方正楷体_GBK"/>
          <w:color w:val="000000"/>
          <w:kern w:val="0"/>
          <w:szCs w:val="32"/>
        </w:rPr>
        <w:t>促进市域一体化协调发展。</w:t>
      </w:r>
      <w:r>
        <w:rPr>
          <w:rFonts w:hint="eastAsia"/>
          <w:color w:val="000000"/>
          <w:kern w:val="0"/>
          <w:szCs w:val="32"/>
        </w:rPr>
        <w:t>以太湖湾科创带建设为核心，统筹全市产业布局，推动区域产业特色发展、差异化发展。大力推动锡澄锡宜一体化发展，充分发挥“一体两翼两区”产业优势，以产业链协作分工为导向，以龙头企业为引领，以项目为抓手，推动产业发展空间共构、功能共生、互联互通。大力推进太湖湾科创带建设，优化“一核十园”产业布局，加快推动新一代信息技术、生物医药、高端装备等新兴产业向太湖湾科创带集聚，强化“一核”示范引领、“十园”特色发展。推动全市产业园区特色化、功能化发展，进一步厘清重点园区定位，完善园区服务功能，</w:t>
      </w:r>
      <w:r>
        <w:rPr>
          <w:rFonts w:hint="eastAsia"/>
          <w:bCs/>
          <w:szCs w:val="32"/>
        </w:rPr>
        <w:t>加快打造一批产业集聚、定位鲜明、配套完善、功能完备的特色产业园区，做大做响园区品牌。</w:t>
      </w:r>
    </w:p>
    <w:p>
      <w:pPr>
        <w:keepNext w:val="0"/>
        <w:keepLines w:val="0"/>
        <w:pageBreakBefore w:val="0"/>
        <w:widowControl w:val="0"/>
        <w:kinsoku/>
        <w:wordWrap/>
        <w:overflowPunct/>
        <w:topLinePunct w:val="0"/>
        <w:autoSpaceDE w:val="0"/>
        <w:autoSpaceDN w:val="0"/>
        <w:bidi w:val="0"/>
        <w:adjustRightInd/>
        <w:snapToGrid w:val="0"/>
        <w:spacing w:before="0"/>
        <w:ind w:firstLine="640"/>
        <w:textAlignment w:val="auto"/>
        <w:rPr>
          <w:rFonts w:cs="方正仿宋_GBK"/>
          <w:szCs w:val="32"/>
        </w:rPr>
      </w:pPr>
      <w:r>
        <w:rPr>
          <w:rFonts w:hint="eastAsia" w:eastAsia="方正楷体_GBK"/>
          <w:kern w:val="0"/>
        </w:rPr>
        <w:t>促进区域一体化融合发展</w:t>
      </w:r>
      <w:r>
        <w:rPr>
          <w:rFonts w:hint="eastAsia"/>
          <w:kern w:val="0"/>
        </w:rPr>
        <w:t>。深入实施长江经济带建设、长三角一体化发展等国家战略，积极融入上海大都市圈、苏锡常都市圈建设，加快推进锡常泰跨江融合，协同联动沿沪宁产业创新带、宁杭生态经济带建设，推动新一代信息技术、新能源汽车及关键零部件、高端装备、生物医药等重点产业积极融入区域产业分工协作，打造长三角先进制造核心区。以交通基础设施互联互通为牵引，加强区域间要素整合共享，</w:t>
      </w:r>
      <w:r>
        <w:rPr>
          <w:rFonts w:hint="eastAsia" w:cs="方正仿宋_GBK"/>
          <w:szCs w:val="32"/>
        </w:rPr>
        <w:t>主动承接上海产业溢出，链接沪宁杭资源，探索采取共建园区、共建开放性创新平台等方式，推动产业链布局联动，共享创新资源。</w:t>
      </w:r>
      <w:r>
        <w:rPr>
          <w:rFonts w:hint="eastAsia" w:cs="方正仿宋_GBK"/>
          <w:szCs w:val="32"/>
          <w:lang w:eastAsia="zh-CN"/>
        </w:rPr>
        <w:t>支持本地企业“走出去”赴长三角其他地区发展建设“反向飞地”等载体，用好上海、南京、杭州等城市的人才资源。</w:t>
      </w:r>
      <w:r>
        <w:rPr>
          <w:rFonts w:hint="eastAsia" w:cs="方正仿宋_GBK"/>
          <w:szCs w:val="32"/>
        </w:rPr>
        <w:t>围绕重点产业集群，大力开展产业协作配套活动，帮助企业拓展市场。</w:t>
      </w:r>
    </w:p>
    <w:p>
      <w:pPr>
        <w:keepNext w:val="0"/>
        <w:keepLines w:val="0"/>
        <w:pageBreakBefore w:val="0"/>
        <w:widowControl/>
        <w:kinsoku/>
        <w:wordWrap/>
        <w:overflowPunct/>
        <w:topLinePunct w:val="0"/>
        <w:bidi w:val="0"/>
        <w:adjustRightInd w:val="0"/>
        <w:snapToGrid w:val="0"/>
        <w:ind w:firstLine="640"/>
        <w:textAlignment w:val="auto"/>
        <w:rPr>
          <w:rFonts w:cs="方正仿宋_GBK"/>
          <w:kern w:val="0"/>
        </w:rPr>
      </w:pPr>
      <w:r>
        <w:rPr>
          <w:rFonts w:hint="eastAsia" w:eastAsia="方正楷体_GBK"/>
          <w:kern w:val="0"/>
          <w:szCs w:val="22"/>
        </w:rPr>
        <w:t>促进开放型工业经济高质量发展。</w:t>
      </w:r>
      <w:r>
        <w:rPr>
          <w:color w:val="000000" w:themeColor="text1"/>
          <w:kern w:val="32"/>
          <w:szCs w:val="32"/>
          <w14:textFill>
            <w14:solidFill>
              <w14:schemeClr w14:val="tx1"/>
            </w14:solidFill>
          </w14:textFill>
        </w:rPr>
        <w:t>突出开发区开放主阵地作用，</w:t>
      </w:r>
      <w:r>
        <w:rPr>
          <w:rFonts w:hint="eastAsia"/>
          <w:color w:val="000000" w:themeColor="text1"/>
          <w14:textFill>
            <w14:solidFill>
              <w14:schemeClr w14:val="tx1"/>
            </w14:solidFill>
          </w14:textFill>
        </w:rPr>
        <w:t>系统推进开发区开放创新、科技创新、制度创新，</w:t>
      </w:r>
      <w:r>
        <w:rPr>
          <w:rFonts w:hint="eastAsia" w:cs="方正仿宋_GBK"/>
          <w:kern w:val="0"/>
          <w:shd w:val="clear" w:color="auto" w:fill="FFFFFF"/>
        </w:rPr>
        <w:t>推动建设江苏自贸区联动创新</w:t>
      </w:r>
      <w:r>
        <w:rPr>
          <w:rFonts w:hint="eastAsia" w:cs="方正仿宋_GBK"/>
          <w:kern w:val="0"/>
          <w:shd w:val="clear" w:color="auto" w:fill="FFFFFF"/>
          <w:lang w:eastAsia="zh-CN"/>
        </w:rPr>
        <w:t>发展</w:t>
      </w:r>
      <w:r>
        <w:rPr>
          <w:rFonts w:hint="eastAsia" w:cs="方正仿宋_GBK"/>
          <w:kern w:val="0"/>
          <w:shd w:val="clear" w:color="auto" w:fill="FFFFFF"/>
        </w:rPr>
        <w:t>区。</w:t>
      </w:r>
      <w:r>
        <w:rPr>
          <w:rFonts w:hint="eastAsia" w:cs="方正仿宋_GBK"/>
          <w:color w:val="000000" w:themeColor="text1"/>
          <w:kern w:val="0"/>
          <w:shd w:val="clear" w:color="auto" w:fill="FFFFFF"/>
          <w14:textFill>
            <w14:solidFill>
              <w14:schemeClr w14:val="tx1"/>
            </w14:solidFill>
          </w14:textFill>
        </w:rPr>
        <w:t>加快推进综合保税区高质量发展，</w:t>
      </w:r>
      <w:r>
        <w:rPr>
          <w:rFonts w:hint="eastAsia" w:cs="方正仿宋_GBK"/>
          <w:color w:val="000000" w:themeColor="text1"/>
          <w:kern w:val="0"/>
          <w:shd w:val="clear" w:color="auto" w:fill="FFFFFF"/>
          <w:lang w:val="zh-TW"/>
          <w14:textFill>
            <w14:solidFill>
              <w14:schemeClr w14:val="tx1"/>
            </w14:solidFill>
          </w14:textFill>
        </w:rPr>
        <w:t>开展</w:t>
      </w:r>
      <w:r>
        <w:rPr>
          <w:rFonts w:hint="eastAsia" w:cs="方正仿宋_GBK"/>
          <w:color w:val="000000" w:themeColor="text1"/>
          <w:kern w:val="0"/>
          <w:shd w:val="clear" w:color="auto" w:fill="FFFFFF"/>
          <w14:textFill>
            <w14:solidFill>
              <w14:schemeClr w14:val="tx1"/>
            </w14:solidFill>
          </w14:textFill>
        </w:rPr>
        <w:t>集成电路全产业链保税试点</w:t>
      </w:r>
      <w:r>
        <w:rPr>
          <w:rFonts w:hint="eastAsia" w:cs="方正仿宋_GBK"/>
          <w:kern w:val="0"/>
          <w:shd w:val="clear" w:color="auto" w:fill="FFFFFF"/>
        </w:rPr>
        <w:t>，</w:t>
      </w:r>
      <w:r>
        <w:rPr>
          <w:rFonts w:hint="eastAsia" w:cs="方正仿宋_GBK"/>
          <w:color w:val="000000" w:themeColor="text1"/>
          <w:kern w:val="0"/>
          <w:shd w:val="clear" w:color="auto" w:fill="FFFFFF"/>
          <w14:textFill>
            <w14:solidFill>
              <w14:schemeClr w14:val="tx1"/>
            </w14:solidFill>
          </w14:textFill>
        </w:rPr>
        <w:t>全面提升无锡口岸竞争力</w:t>
      </w:r>
      <w:r>
        <w:rPr>
          <w:rFonts w:hint="eastAsia" w:cs="方正仿宋_GBK"/>
          <w:kern w:val="0"/>
          <w:shd w:val="clear" w:color="auto" w:fill="FFFFFF"/>
        </w:rPr>
        <w:t>。</w:t>
      </w:r>
      <w:r>
        <w:rPr>
          <w:rFonts w:hint="eastAsia" w:cs="方正仿宋_GBK"/>
          <w:color w:val="000000"/>
          <w:kern w:val="0"/>
          <w:lang w:bidi="ar"/>
        </w:rPr>
        <w:t>高水平承接国际资本转移，大力推动中欧（无锡）生命科学创新产业园、中韩（无锡）科技产业合作示范区建设，引进一批科技含量高、带动力强的重大产业项目。</w:t>
      </w:r>
      <w:r>
        <w:rPr>
          <w:rFonts w:hint="eastAsia" w:cs="方正仿宋_GBK"/>
          <w:kern w:val="0"/>
          <w:shd w:val="clear" w:color="auto" w:fill="FFFFFF"/>
        </w:rPr>
        <w:t>支持有条件的企业更高水平“走出去”，主动融入“一带一路”等国家重大战略，</w:t>
      </w:r>
      <w:r>
        <w:rPr>
          <w:rFonts w:hint="eastAsia" w:cs="方正仿宋_GBK"/>
          <w:color w:val="000000"/>
          <w:kern w:val="0"/>
          <w:lang w:bidi="ar"/>
        </w:rPr>
        <w:t>高标准建设柬埔寨西哈努克港经济特区，打造</w:t>
      </w:r>
      <w:r>
        <w:rPr>
          <w:rFonts w:cs="方正仿宋_GBK"/>
          <w:color w:val="000000"/>
          <w:kern w:val="0"/>
          <w:lang w:bidi="ar"/>
        </w:rPr>
        <w:t>“</w:t>
      </w:r>
      <w:r>
        <w:rPr>
          <w:rFonts w:hint="eastAsia" w:cs="方正仿宋_GBK"/>
          <w:color w:val="000000"/>
          <w:kern w:val="0"/>
          <w:lang w:bidi="ar"/>
        </w:rPr>
        <w:t>一带一路</w:t>
      </w:r>
      <w:r>
        <w:rPr>
          <w:rFonts w:cs="方正仿宋_GBK"/>
          <w:color w:val="000000"/>
          <w:kern w:val="0"/>
          <w:lang w:bidi="ar"/>
        </w:rPr>
        <w:t>”</w:t>
      </w:r>
      <w:r>
        <w:rPr>
          <w:rFonts w:hint="eastAsia" w:cs="方正仿宋_GBK"/>
          <w:color w:val="000000"/>
          <w:kern w:val="0"/>
          <w:lang w:bidi="ar"/>
        </w:rPr>
        <w:t>对外合作样板。开展高质量境外并购合作，</w:t>
      </w:r>
      <w:r>
        <w:rPr>
          <w:rFonts w:hint="eastAsia" w:cs="方正仿宋_GBK"/>
          <w:kern w:val="0"/>
          <w:shd w:val="clear" w:color="auto" w:fill="FFFFFF"/>
        </w:rPr>
        <w:t>全方位提高</w:t>
      </w:r>
      <w:r>
        <w:rPr>
          <w:rFonts w:hint="eastAsia" w:cs="方正仿宋_GBK"/>
          <w:kern w:val="0"/>
        </w:rPr>
        <w:t>海外资源整合利用能力，</w:t>
      </w:r>
      <w:r>
        <w:rPr>
          <w:rFonts w:hint="eastAsia" w:cs="方正仿宋_GBK"/>
          <w:kern w:val="0"/>
          <w:shd w:val="clear" w:color="auto" w:fill="FFFFFF"/>
        </w:rPr>
        <w:t>深度参与国际产业链和价值链分工，</w:t>
      </w:r>
      <w:r>
        <w:rPr>
          <w:rFonts w:hint="eastAsia" w:cs="方正仿宋_GBK"/>
          <w:color w:val="000000"/>
          <w:kern w:val="0"/>
          <w:lang w:bidi="ar"/>
        </w:rPr>
        <w:t>鼓励高质量境外并购项目回归发展。</w:t>
      </w:r>
    </w:p>
    <w:p>
      <w:pPr>
        <w:keepNext w:val="0"/>
        <w:keepLines w:val="0"/>
        <w:pageBreakBefore w:val="0"/>
        <w:kinsoku/>
        <w:wordWrap/>
        <w:overflowPunct/>
        <w:topLinePunct w:val="0"/>
        <w:bidi w:val="0"/>
        <w:spacing w:before="0" w:beforeLines="-2147483648"/>
        <w:ind w:firstLine="640"/>
        <w:textAlignment w:val="auto"/>
        <w:outlineLvl w:val="0"/>
        <w:rPr>
          <w:rFonts w:eastAsia="方正黑体_GBK"/>
          <w:szCs w:val="32"/>
        </w:rPr>
      </w:pPr>
      <w:bookmarkStart w:id="52" w:name="_Toc71735081"/>
      <w:bookmarkStart w:id="53" w:name="_Toc80864470"/>
      <w:r>
        <w:rPr>
          <w:rFonts w:hint="eastAsia" w:eastAsia="方正黑体_GBK"/>
          <w:szCs w:val="32"/>
        </w:rPr>
        <w:t>五、保障措施</w:t>
      </w:r>
      <w:bookmarkEnd w:id="52"/>
      <w:bookmarkEnd w:id="53"/>
    </w:p>
    <w:p>
      <w:pPr>
        <w:keepNext w:val="0"/>
        <w:keepLines w:val="0"/>
        <w:pageBreakBefore w:val="0"/>
        <w:kinsoku/>
        <w:wordWrap/>
        <w:overflowPunct/>
        <w:topLinePunct w:val="0"/>
        <w:bidi w:val="0"/>
        <w:adjustRightInd w:val="0"/>
        <w:ind w:firstLine="640"/>
        <w:contextualSpacing/>
        <w:textAlignment w:val="auto"/>
        <w:outlineLvl w:val="1"/>
        <w:rPr>
          <w:rFonts w:eastAsia="方正楷体_GBK"/>
          <w:kern w:val="0"/>
          <w:szCs w:val="32"/>
        </w:rPr>
      </w:pPr>
      <w:bookmarkStart w:id="54" w:name="_Toc61818204"/>
      <w:bookmarkStart w:id="55" w:name="_Toc71735082"/>
      <w:bookmarkStart w:id="56" w:name="_Toc80864471"/>
      <w:r>
        <w:rPr>
          <w:rFonts w:hint="eastAsia" w:eastAsia="方正楷体_GBK"/>
          <w:szCs w:val="32"/>
        </w:rPr>
        <w:t>（一）加强组织领导</w:t>
      </w:r>
      <w:bookmarkEnd w:id="54"/>
      <w:bookmarkEnd w:id="55"/>
      <w:r>
        <w:rPr>
          <w:rFonts w:hint="eastAsia" w:eastAsia="方正楷体_GBK"/>
          <w:szCs w:val="32"/>
        </w:rPr>
        <w:t>。</w:t>
      </w:r>
      <w:r>
        <w:rPr>
          <w:rFonts w:hint="eastAsia" w:cs="方正仿宋_GBK"/>
          <w:szCs w:val="32"/>
        </w:rPr>
        <w:t>强化组织协调，明确目标责任，保证规划落实到位。加强部门、地区间的协调联动，建立重大问题协商机制，统筹协调规划落实的重大问题。制定各重点产业发展专项规划，加强规划间有机衔接，形成目标一致、内容协调、措施相互支撑的规划体系。加强目标考核评价，</w:t>
      </w:r>
      <w:r>
        <w:rPr>
          <w:rFonts w:hint="eastAsia" w:cs="方正仿宋_GBK"/>
          <w:szCs w:val="32"/>
          <w:lang w:bidi="ar"/>
        </w:rPr>
        <w:t>开展年度评估、中期评估，</w:t>
      </w:r>
      <w:r>
        <w:rPr>
          <w:rFonts w:hint="eastAsia" w:cs="方正仿宋_GBK"/>
          <w:szCs w:val="32"/>
        </w:rPr>
        <w:t>建立监测评估体系，</w:t>
      </w:r>
      <w:r>
        <w:rPr>
          <w:rFonts w:hint="eastAsia" w:cs="方正仿宋_GBK"/>
          <w:szCs w:val="32"/>
          <w:lang w:bidi="ar"/>
        </w:rPr>
        <w:t>定期开展</w:t>
      </w:r>
      <w:r>
        <w:rPr>
          <w:rFonts w:hint="eastAsia" w:cs="方正仿宋_GBK"/>
          <w:szCs w:val="32"/>
        </w:rPr>
        <w:t>检查指导，</w:t>
      </w:r>
      <w:r>
        <w:rPr>
          <w:rFonts w:hint="eastAsia" w:cs="方正仿宋_GBK"/>
          <w:szCs w:val="32"/>
          <w:lang w:bidi="ar"/>
        </w:rPr>
        <w:t>确保</w:t>
      </w:r>
      <w:r>
        <w:rPr>
          <w:rFonts w:hint="eastAsia" w:cs="方正仿宋_GBK"/>
          <w:szCs w:val="32"/>
        </w:rPr>
        <w:t>规划实施。建立规划动态调整机制，密切关注国家宏观政策调控和市场变化，对规划实施方案和实施路径等进行必要调整。</w:t>
      </w:r>
      <w:bookmarkEnd w:id="56"/>
    </w:p>
    <w:p>
      <w:pPr>
        <w:widowControl/>
        <w:adjustRightInd w:val="0"/>
        <w:snapToGrid w:val="0"/>
        <w:ind w:firstLine="640"/>
        <w:outlineLvl w:val="2"/>
        <w:rPr>
          <w:kern w:val="0"/>
          <w:szCs w:val="32"/>
        </w:rPr>
      </w:pPr>
      <w:bookmarkStart w:id="57" w:name="_Toc80864472"/>
      <w:bookmarkStart w:id="58" w:name="_Toc53760283"/>
      <w:bookmarkStart w:id="59" w:name="_Toc59234411"/>
      <w:r>
        <w:rPr>
          <w:rFonts w:hint="eastAsia" w:eastAsia="方正楷体_GBK"/>
          <w:szCs w:val="32"/>
        </w:rPr>
        <w:t>（二）强化要素保障。</w:t>
      </w:r>
      <w:r>
        <w:rPr>
          <w:rFonts w:hint="eastAsia"/>
          <w:kern w:val="0"/>
          <w:szCs w:val="32"/>
        </w:rPr>
        <w:t>加强人才引育，深入实施“太湖人才”计划，完善人才培养、流动、激励和评价考核机制，突出“高精尖缺”导向，引进培养一批科技领军人才、创新创业团队、高技能人才。</w:t>
      </w:r>
      <w:bookmarkStart w:id="60" w:name="_Toc59003304"/>
      <w:bookmarkStart w:id="61" w:name="_Toc59003144"/>
      <w:bookmarkStart w:id="62" w:name="_Toc58799527"/>
      <w:r>
        <w:rPr>
          <w:rFonts w:hint="eastAsia"/>
          <w:kern w:val="0"/>
          <w:szCs w:val="32"/>
        </w:rPr>
        <w:t>优化土地配置，按照“保障发展、集约利用”原则，</w:t>
      </w:r>
      <w:r>
        <w:rPr>
          <w:rFonts w:hint="eastAsia"/>
          <w:szCs w:val="32"/>
        </w:rPr>
        <w:t>强化工业用地总量保护，探索划定工业用地保护红线。创新土地利用方式，探索实施弹性供地、工业上楼等多样化土地供应模式，</w:t>
      </w:r>
      <w:r>
        <w:rPr>
          <w:rFonts w:hint="eastAsia"/>
          <w:color w:val="000000"/>
          <w:kern w:val="0"/>
          <w:szCs w:val="32"/>
          <w:lang w:bidi="ar"/>
        </w:rPr>
        <w:t>落实工业用地出让综合评审机制</w:t>
      </w:r>
      <w:r>
        <w:rPr>
          <w:rFonts w:hint="eastAsia"/>
          <w:kern w:val="0"/>
          <w:szCs w:val="32"/>
        </w:rPr>
        <w:t>，推动产业用地提质增效。</w:t>
      </w:r>
      <w:bookmarkEnd w:id="60"/>
      <w:bookmarkEnd w:id="61"/>
      <w:bookmarkEnd w:id="62"/>
      <w:r>
        <w:rPr>
          <w:rFonts w:hint="eastAsia"/>
          <w:kern w:val="0"/>
          <w:szCs w:val="32"/>
        </w:rPr>
        <w:t>保障水、电、煤、气等有形要素稳定供给，满足企业生产经营需要。</w:t>
      </w:r>
      <w:bookmarkEnd w:id="57"/>
    </w:p>
    <w:bookmarkEnd w:id="58"/>
    <w:bookmarkEnd w:id="59"/>
    <w:p>
      <w:pPr>
        <w:widowControl/>
        <w:adjustRightInd w:val="0"/>
        <w:snapToGrid w:val="0"/>
        <w:ind w:firstLine="640"/>
        <w:outlineLvl w:val="2"/>
        <w:rPr>
          <w:szCs w:val="21"/>
        </w:rPr>
      </w:pPr>
      <w:bookmarkStart w:id="63" w:name="_Toc61818207"/>
      <w:bookmarkStart w:id="64" w:name="_Toc71735085"/>
      <w:bookmarkStart w:id="65" w:name="_Toc80864473"/>
      <w:r>
        <w:rPr>
          <w:rFonts w:hint="eastAsia" w:eastAsia="方正楷体_GBK"/>
          <w:szCs w:val="32"/>
        </w:rPr>
        <w:t>（三）</w:t>
      </w:r>
      <w:r>
        <w:rPr>
          <w:rFonts w:eastAsia="方正楷体_GBK"/>
          <w:szCs w:val="32"/>
        </w:rPr>
        <w:t>创新政策</w:t>
      </w:r>
      <w:bookmarkEnd w:id="63"/>
      <w:bookmarkEnd w:id="64"/>
      <w:r>
        <w:rPr>
          <w:rFonts w:hint="eastAsia" w:eastAsia="方正楷体_GBK"/>
          <w:szCs w:val="32"/>
        </w:rPr>
        <w:t>供给。</w:t>
      </w:r>
      <w:r>
        <w:rPr>
          <w:rFonts w:hint="eastAsia"/>
          <w:kern w:val="0"/>
          <w:szCs w:val="32"/>
        </w:rPr>
        <w:t>完善政策体系，聚焦产业项目引育</w:t>
      </w:r>
      <w:r>
        <w:rPr>
          <w:kern w:val="0"/>
          <w:szCs w:val="32"/>
        </w:rPr>
        <w:t>、</w:t>
      </w:r>
      <w:r>
        <w:rPr>
          <w:rFonts w:hint="eastAsia"/>
          <w:kern w:val="0"/>
          <w:szCs w:val="32"/>
        </w:rPr>
        <w:t>新兴产业发展、企业</w:t>
      </w:r>
      <w:r>
        <w:rPr>
          <w:kern w:val="0"/>
          <w:szCs w:val="32"/>
        </w:rPr>
        <w:t>技术改造、</w:t>
      </w:r>
      <w:r>
        <w:rPr>
          <w:rFonts w:hint="eastAsia"/>
          <w:kern w:val="0"/>
          <w:szCs w:val="32"/>
        </w:rPr>
        <w:t>两化融合、</w:t>
      </w:r>
      <w:r>
        <w:rPr>
          <w:kern w:val="0"/>
          <w:szCs w:val="32"/>
        </w:rPr>
        <w:t>绿色发展等关键领域</w:t>
      </w:r>
      <w:r>
        <w:rPr>
          <w:rFonts w:hint="eastAsia"/>
          <w:kern w:val="0"/>
          <w:szCs w:val="32"/>
        </w:rPr>
        <w:t>，进一步加大专项资金扶持力度。</w:t>
      </w:r>
      <w:bookmarkStart w:id="66" w:name="_Toc58799525"/>
      <w:bookmarkStart w:id="67" w:name="_Toc59003302"/>
      <w:bookmarkStart w:id="68" w:name="_Toc59003142"/>
      <w:r>
        <w:rPr>
          <w:rFonts w:hint="eastAsia"/>
          <w:kern w:val="0"/>
          <w:szCs w:val="32"/>
        </w:rPr>
        <w:t>优化财政资金支持方式，充分发挥国调基金（二期）等基金的撬动作用，放大财政资金杠杆效应。强化金融服务实体经济能力，</w:t>
      </w:r>
      <w:r>
        <w:rPr>
          <w:rFonts w:hint="eastAsia"/>
        </w:rPr>
        <w:t>引导金融机构加大中长期贷款投入，鼓励金融机构探索开展知识产权、合同能源管理未来收益权等无形资产质押融资，实施金融产品和服务集成创新。支持企业通过上市、挂牌、发债、资产证券化等方式，扩大直接融资规模。</w:t>
      </w:r>
      <w:r>
        <w:rPr>
          <w:rFonts w:hint="eastAsia"/>
          <w:kern w:val="0"/>
          <w:szCs w:val="32"/>
        </w:rPr>
        <w:t>优化政银企保四方合作，为中小企业创造便捷、高效、低成本的融资环境。</w:t>
      </w:r>
      <w:bookmarkEnd w:id="65"/>
    </w:p>
    <w:bookmarkEnd w:id="66"/>
    <w:bookmarkEnd w:id="67"/>
    <w:bookmarkEnd w:id="68"/>
    <w:p>
      <w:pPr>
        <w:widowControl/>
        <w:adjustRightInd w:val="0"/>
        <w:snapToGrid w:val="0"/>
        <w:ind w:firstLine="640"/>
        <w:outlineLvl w:val="2"/>
      </w:pPr>
      <w:bookmarkStart w:id="69" w:name="_Toc71735086"/>
      <w:bookmarkStart w:id="70" w:name="_Toc61818208"/>
      <w:bookmarkStart w:id="71" w:name="_Toc80864474"/>
      <w:r>
        <w:rPr>
          <w:rFonts w:hint="eastAsia" w:eastAsia="方正楷体_GBK"/>
          <w:szCs w:val="32"/>
        </w:rPr>
        <w:t>（四）优化营商环境</w:t>
      </w:r>
      <w:bookmarkEnd w:id="69"/>
      <w:bookmarkEnd w:id="70"/>
      <w:r>
        <w:rPr>
          <w:rFonts w:hint="eastAsia" w:eastAsia="方正楷体_GBK"/>
          <w:szCs w:val="32"/>
        </w:rPr>
        <w:t>。</w:t>
      </w:r>
      <w:bookmarkStart w:id="72" w:name="_Toc58799533"/>
      <w:bookmarkStart w:id="73" w:name="_Toc59003310"/>
      <w:bookmarkStart w:id="74" w:name="_Toc59003150"/>
      <w:r>
        <w:rPr>
          <w:rFonts w:hint="eastAsia"/>
          <w:kern w:val="0"/>
          <w:szCs w:val="32"/>
        </w:rPr>
        <w:t>持续擦亮“无难事、悉心办”营商环境品牌，不断优化发展环境。贯彻落实国家、省、市关于企业降本减负、税收优惠等相关政策，减轻制造业企业负担。</w:t>
      </w:r>
      <w:bookmarkEnd w:id="72"/>
      <w:bookmarkEnd w:id="73"/>
      <w:bookmarkEnd w:id="74"/>
      <w:bookmarkStart w:id="75" w:name="_Toc59003311"/>
      <w:bookmarkStart w:id="76" w:name="_Toc58799534"/>
      <w:bookmarkStart w:id="77" w:name="_Toc59003151"/>
      <w:r>
        <w:rPr>
          <w:rFonts w:hint="eastAsia"/>
          <w:kern w:val="0"/>
          <w:szCs w:val="32"/>
        </w:rPr>
        <w:t>拓展“</w:t>
      </w:r>
      <w:r>
        <w:rPr>
          <w:rFonts w:hint="eastAsia"/>
          <w:szCs w:val="22"/>
        </w:rPr>
        <w:t>零接触式</w:t>
      </w:r>
      <w:r>
        <w:rPr>
          <w:rFonts w:hint="eastAsia"/>
          <w:kern w:val="0"/>
          <w:szCs w:val="32"/>
        </w:rPr>
        <w:t>”服务和“不见面”审批，提高在线政务服务办事效率。实施市场准入负面清单制度，开展涉企经营许可事项清单管理，加强事中事后监管。建设</w:t>
      </w:r>
      <w:r>
        <w:rPr>
          <w:rFonts w:hint="eastAsia"/>
        </w:rPr>
        <w:t>提升一批运作规范、支撑力强、服务面广的中小企业公共服务平台，持续优化公共服务体系。</w:t>
      </w:r>
      <w:r>
        <w:rPr>
          <w:rFonts w:hint="eastAsia"/>
          <w:szCs w:val="32"/>
        </w:rPr>
        <w:t>强化知识产权应用和保护，依法严肃惩处垄断行为、不正当竞争行为和侵</w:t>
      </w:r>
      <w:r>
        <w:rPr>
          <w:rFonts w:hint="eastAsia"/>
        </w:rPr>
        <w:t>权行为。大力弘扬企业家精神和新时代锡商精神，宣传好“无锡企业家日”，讲好企业家故事，营造良好的实体经济发展氛围。</w:t>
      </w:r>
      <w:bookmarkEnd w:id="71"/>
    </w:p>
    <w:bookmarkEnd w:id="75"/>
    <w:bookmarkEnd w:id="76"/>
    <w:bookmarkEnd w:id="77"/>
    <w:p>
      <w:pPr>
        <w:ind w:firstLine="640"/>
        <w:outlineLvl w:val="0"/>
        <w:rPr>
          <w:rFonts w:eastAsia="方正黑体_GBK" w:cs="宋体"/>
          <w:bCs/>
          <w:color w:val="333333"/>
          <w:kern w:val="0"/>
          <w:szCs w:val="32"/>
        </w:rPr>
      </w:pPr>
      <w:bookmarkStart w:id="78" w:name="_Toc71636231"/>
      <w:bookmarkStart w:id="79" w:name="_Toc288036211"/>
      <w:bookmarkStart w:id="80" w:name="_Toc71735087"/>
      <w:bookmarkStart w:id="81" w:name="_Toc80864475"/>
      <w:r>
        <w:rPr>
          <w:rFonts w:hint="eastAsia" w:eastAsia="方正黑体_GBK" w:cs="宋体"/>
          <w:bCs/>
          <w:color w:val="333333"/>
          <w:kern w:val="0"/>
          <w:szCs w:val="32"/>
        </w:rPr>
        <w:t>六、环境影响评价</w:t>
      </w:r>
      <w:bookmarkEnd w:id="78"/>
      <w:bookmarkEnd w:id="79"/>
      <w:bookmarkEnd w:id="80"/>
      <w:bookmarkEnd w:id="81"/>
    </w:p>
    <w:p>
      <w:pPr>
        <w:ind w:firstLine="640"/>
        <w:rPr>
          <w:rFonts w:cs="宋体"/>
          <w:kern w:val="0"/>
          <w:szCs w:val="32"/>
        </w:rPr>
      </w:pPr>
      <w:bookmarkStart w:id="82" w:name="_Toc288036212"/>
      <w:bookmarkStart w:id="83" w:name="_Toc71735088"/>
      <w:bookmarkStart w:id="84" w:name="_Toc71636232"/>
      <w:r>
        <w:rPr>
          <w:rFonts w:hint="eastAsia" w:cs="宋体"/>
          <w:kern w:val="0"/>
          <w:szCs w:val="32"/>
        </w:rPr>
        <w:t>为确保“十四五”期间制造业高质量发展和生态环境高水平保护相协调，须对《无锡市“十四五”制造业发展规划》（以下简称《规划》）实施后可能造成的环境影响进行识别、分析、预测和评价，提出加强预防和减轻不良影响的对策及措施，以助力全市实现空间开发布局优化、区域（流域）环境质量改善和产业转型升级协同共进的高质量发展，深化拓展“强富美高”新无锡建设再出发的丰富内涵。</w:t>
      </w:r>
    </w:p>
    <w:p>
      <w:pPr>
        <w:ind w:firstLine="640"/>
        <w:outlineLvl w:val="1"/>
        <w:rPr>
          <w:rFonts w:eastAsia="方正楷体_GBK"/>
        </w:rPr>
      </w:pPr>
      <w:bookmarkStart w:id="85" w:name="_Toc80864476"/>
      <w:bookmarkStart w:id="86" w:name="_Toc77955190"/>
      <w:r>
        <w:rPr>
          <w:rFonts w:hint="eastAsia" w:eastAsia="方正楷体_GBK"/>
        </w:rPr>
        <w:t>（一）《规划》实施的环境影响分析</w:t>
      </w:r>
      <w:bookmarkEnd w:id="85"/>
      <w:bookmarkEnd w:id="86"/>
    </w:p>
    <w:p>
      <w:pPr>
        <w:widowControl/>
        <w:shd w:val="clear" w:color="auto" w:fill="FFFFFF"/>
        <w:ind w:firstLine="640"/>
        <w:rPr>
          <w:rFonts w:cs="宋体"/>
          <w:kern w:val="0"/>
          <w:szCs w:val="32"/>
        </w:rPr>
      </w:pPr>
      <w:r>
        <w:rPr>
          <w:rFonts w:eastAsia="方正楷体_GBK"/>
          <w:bCs/>
          <w:kern w:val="0"/>
          <w:szCs w:val="32"/>
        </w:rPr>
        <w:t xml:space="preserve">1. </w:t>
      </w:r>
      <w:r>
        <w:rPr>
          <w:rFonts w:hint="eastAsia" w:ascii="方正楷体_GBK" w:eastAsia="方正楷体_GBK" w:cs="宋体"/>
          <w:bCs/>
          <w:kern w:val="0"/>
          <w:szCs w:val="32"/>
        </w:rPr>
        <w:t>大气环境影响评价。</w:t>
      </w:r>
      <w:r>
        <w:rPr>
          <w:rFonts w:hint="eastAsia" w:cs="宋体"/>
          <w:kern w:val="0"/>
          <w:szCs w:val="32"/>
        </w:rPr>
        <w:t>《规划》提出，要发展特钢、汽车及零部件等产业，《规划》实施后，无锡工业烟（粉）尘等污染物排放总量将有可能增加，如果管理处置不当，将存在加重大气污染的可能。《规划》提出如下措施，以降低对大气环境质量的影响：一是大力发展低能耗、负能耗冶炼、节能高效轧制、流程智能控制等技术，引导企业实施工艺技术和装备等改造；二是大力发展节能环保产业，重点发展大气污染防治装备等，完善合同能源管理、环境污染第三方治理模式，培育一批高水平的节能环保综合解决方案供应商；三是认真落实碳达峰碳中和部署要求，加快绿色低碳技术研发应用，加强可再生能源推广，推进脱碳技术、固碳资源供给、控碳服务支撑体系建设，打好零碳科技产业园、零碳基金、碳中和示范区、创新零碳谷“四张牌”。这些举措的实施，将推动区域内产业结构和污染控制体系的优化升级，有效降低产业发展对相关区域的环境影响，不会增加大气污染物排放总量。因此，《规划》的实施不会对区域的大气环境产生明显不良影响。</w:t>
      </w:r>
    </w:p>
    <w:p>
      <w:pPr>
        <w:ind w:firstLine="640"/>
        <w:rPr>
          <w:rFonts w:cs="宋体"/>
          <w:kern w:val="0"/>
          <w:szCs w:val="32"/>
        </w:rPr>
      </w:pPr>
      <w:r>
        <w:rPr>
          <w:rFonts w:hint="eastAsia" w:eastAsia="方正楷体_GBK"/>
          <w:bCs/>
          <w:kern w:val="0"/>
          <w:szCs w:val="32"/>
        </w:rPr>
        <w:t xml:space="preserve">2. </w:t>
      </w:r>
      <w:r>
        <w:rPr>
          <w:rFonts w:hint="eastAsia" w:ascii="方正楷体_GBK" w:eastAsia="方正楷体_GBK" w:cs="宋体"/>
          <w:bCs/>
          <w:kern w:val="0"/>
          <w:szCs w:val="32"/>
        </w:rPr>
        <w:t>水环境影响评价。</w:t>
      </w:r>
      <w:r>
        <w:rPr>
          <w:rFonts w:hint="eastAsia" w:cs="宋体"/>
          <w:kern w:val="0"/>
          <w:szCs w:val="32"/>
        </w:rPr>
        <w:t>《规划》提出发展生物医药、高端纺织、新材料等产业，《规划》实施后，随着项目落地和产能提高，可能存在用水量增加、水污染物排放增加的影响。对此，《规划》提出如下措施，以降低对水环境质量的影响：一是严控“两高”行业新增产能，严格落实钢铁、水泥、平板玻璃等行业产能置换政策，着力推动传统产业绿色化转型，大力发展先进制造业和战略性新兴产业；二是开展绿色基础制造工艺推广行动，实施清洁生产推行计划，提升企业清洁生产技术研发应用水平；三是实施工业节水改造工程，深化重点用能单位能耗在线监测，推动实施节能改造，开展企业水效领跑者引领行动。这些举措的实施，有利于技术升级和产业结构调整，有助于降低新增项目的污染排放，降低对水资源的消耗量。因此，《规划》的实施不会对区域的水环境产生明显不良影响。</w:t>
      </w:r>
    </w:p>
    <w:p>
      <w:pPr>
        <w:ind w:firstLine="640"/>
        <w:rPr>
          <w:rFonts w:cs="宋体"/>
          <w:kern w:val="0"/>
          <w:szCs w:val="32"/>
        </w:rPr>
      </w:pPr>
      <w:r>
        <w:rPr>
          <w:rFonts w:hint="eastAsia" w:eastAsia="方正楷体_GBK"/>
          <w:bCs/>
          <w:kern w:val="0"/>
          <w:szCs w:val="32"/>
        </w:rPr>
        <w:t xml:space="preserve">3. </w:t>
      </w:r>
      <w:r>
        <w:rPr>
          <w:rFonts w:hint="eastAsia" w:ascii="方正楷体_GBK" w:eastAsia="方正楷体_GBK" w:cs="宋体"/>
          <w:bCs/>
          <w:kern w:val="0"/>
          <w:szCs w:val="32"/>
        </w:rPr>
        <w:t>土壤环境影响评价。</w:t>
      </w:r>
      <w:r>
        <w:rPr>
          <w:rFonts w:hint="eastAsia" w:cs="宋体"/>
          <w:kern w:val="0"/>
          <w:szCs w:val="32"/>
        </w:rPr>
        <w:t>《规划》提出招引重大工业项目落户无锡，《规划》实施后，需要一定量的新增用地，也可能造成一定的土壤污染。为了节约土地资源、减少可能存在的土壤污染影响，《规划》提出如下措施，以降低对土壤环境的影响：一是坚持创新驱动、集群引领，大力发展新一代信息技术、新能源等新兴产业，加强科技创新，推动产业集群集聚发展；二推进工业企业资源利用绩效评价，倒逼低效低端企业转型升级；三是大力发展节能环保产业，</w:t>
      </w:r>
      <w:r>
        <w:rPr>
          <w:rFonts w:hint="eastAsia" w:cs="仿宋"/>
          <w:szCs w:val="32"/>
        </w:rPr>
        <w:t>加快突破污水和垃圾处理、脱硫脱硝、高浓度有机废水治理、土壤修复等关键技术，</w:t>
      </w:r>
      <w:r>
        <w:rPr>
          <w:rFonts w:cs="仿宋"/>
          <w:szCs w:val="32"/>
        </w:rPr>
        <w:t>重点发展土壤污染防治装备、固体废弃物处理和资源化装备、环境监测仪器、环保材料和药剂等</w:t>
      </w:r>
      <w:r>
        <w:rPr>
          <w:rFonts w:hint="eastAsia" w:cs="仿宋"/>
          <w:szCs w:val="32"/>
        </w:rPr>
        <w:t>。</w:t>
      </w:r>
      <w:r>
        <w:rPr>
          <w:rFonts w:hint="eastAsia" w:cs="宋体"/>
          <w:kern w:val="0"/>
          <w:szCs w:val="32"/>
        </w:rPr>
        <w:t>这些举措的实施，将推动制造业转型升级，提高土地集约利用水平，有效降低产业发展对土壤环境的影响，不会增加土壤污染负担。因此《规划》的实施不会对区域土壤环境产生明显不良影响。</w:t>
      </w:r>
    </w:p>
    <w:p>
      <w:pPr>
        <w:ind w:firstLine="640"/>
        <w:rPr>
          <w:rFonts w:cs="宋体"/>
          <w:kern w:val="0"/>
          <w:szCs w:val="32"/>
        </w:rPr>
      </w:pPr>
      <w:r>
        <w:rPr>
          <w:rFonts w:hint="eastAsia" w:eastAsia="方正楷体_GBK"/>
          <w:bCs/>
          <w:kern w:val="0"/>
          <w:szCs w:val="32"/>
        </w:rPr>
        <w:t xml:space="preserve">4. </w:t>
      </w:r>
      <w:r>
        <w:rPr>
          <w:rFonts w:hint="eastAsia" w:ascii="方正楷体_GBK" w:eastAsia="方正楷体_GBK" w:cs="宋体"/>
          <w:bCs/>
          <w:kern w:val="0"/>
          <w:szCs w:val="32"/>
        </w:rPr>
        <w:t>生态系统影响评价。</w:t>
      </w:r>
      <w:r>
        <w:rPr>
          <w:rFonts w:hint="eastAsia" w:cs="宋体"/>
          <w:kern w:val="0"/>
          <w:szCs w:val="32"/>
        </w:rPr>
        <w:t>《规划》提出，发展高端纺织服装、特色新材料等产业，《规划》实施后，如果没有结合当地环境承载力进行合理布局，存在对各地区生态系统、景观格局造成影响的可能。《规划》提出如下措施，以降低对生态环境质量的影响：一是促进绿色技术的研发与应用，引导高耗能行业企业实施节能改造和制造业企业实施绿色化改造；二是发展循环经济和资源综合利用，促进工业固废综合利用，打造一批再生资源利用骨干企业，推进资源循环利用基地建设。这些举措的实施，有助于提升无锡制造业的可持续发展能力。因此，《规划》的实施不会对区域生态系统承载力产生明显不良影响。</w:t>
      </w:r>
    </w:p>
    <w:p>
      <w:pPr>
        <w:ind w:firstLine="640"/>
        <w:outlineLvl w:val="1"/>
        <w:rPr>
          <w:rFonts w:eastAsia="方正楷体_GBK"/>
        </w:rPr>
      </w:pPr>
      <w:bookmarkStart w:id="87" w:name="_Toc80864477"/>
      <w:bookmarkStart w:id="88" w:name="_Toc77955191"/>
      <w:r>
        <w:rPr>
          <w:rFonts w:hint="eastAsia" w:eastAsia="方正楷体_GBK" w:cs="方正楷体_GBK"/>
          <w:kern w:val="0"/>
          <w:szCs w:val="32"/>
        </w:rPr>
        <w:t>（二）</w:t>
      </w:r>
      <w:r>
        <w:rPr>
          <w:rFonts w:hint="eastAsia" w:eastAsia="方正楷体_GBK"/>
        </w:rPr>
        <w:t>与相关规划的协调性分析</w:t>
      </w:r>
      <w:bookmarkEnd w:id="87"/>
    </w:p>
    <w:p>
      <w:pPr>
        <w:ind w:firstLine="640"/>
        <w:rPr>
          <w:rFonts w:cs="宋体"/>
          <w:kern w:val="0"/>
          <w:szCs w:val="32"/>
        </w:rPr>
      </w:pPr>
      <w:r>
        <w:rPr>
          <w:rFonts w:hint="eastAsia" w:cs="宋体"/>
          <w:kern w:val="0"/>
          <w:szCs w:val="32"/>
        </w:rPr>
        <w:t>《规划》针对无锡资源节约与环境保护目标，严格遵循《中华人民共和国环境影响评价法》《中华人民共和国环境保护法》等，从产业发展目标、规模、结构、重点发展领域等方面与《无锡市国民经济和社会发展第十四个五年规划和二O三五年远景目标纲要》《无锡市“十四五”城乡建设规划》《无锡市太湖水环境综合治理实施方案》《无锡市“三线一单”生态环境分区管控实施方案》《无锡市环境空气质量功能区划规定》《无锡市区声环境功能区划分调整方案》等政策规划的要求进行了衔接，具有较好的协调性。</w:t>
      </w:r>
    </w:p>
    <w:bookmarkEnd w:id="88"/>
    <w:p>
      <w:pPr>
        <w:ind w:firstLine="640"/>
        <w:outlineLvl w:val="1"/>
        <w:rPr>
          <w:rFonts w:cs="宋体"/>
          <w:kern w:val="0"/>
          <w:szCs w:val="32"/>
        </w:rPr>
      </w:pPr>
      <w:bookmarkStart w:id="89" w:name="_Toc80864478"/>
      <w:bookmarkStart w:id="90" w:name="_Toc77955192"/>
      <w:r>
        <w:rPr>
          <w:rFonts w:hint="eastAsia" w:eastAsia="方正楷体_GBK" w:cs="方正楷体_GBK"/>
          <w:kern w:val="0"/>
          <w:szCs w:val="32"/>
        </w:rPr>
        <w:t>（三）环境保护对策与减缓影响的措施</w:t>
      </w:r>
      <w:bookmarkEnd w:id="89"/>
      <w:bookmarkEnd w:id="90"/>
    </w:p>
    <w:p>
      <w:pPr>
        <w:widowControl/>
        <w:shd w:val="clear" w:color="auto" w:fill="FFFFFF"/>
        <w:ind w:firstLine="640"/>
        <w:rPr>
          <w:rFonts w:cs="宋体"/>
          <w:kern w:val="0"/>
          <w:szCs w:val="32"/>
        </w:rPr>
      </w:pPr>
      <w:r>
        <w:rPr>
          <w:rFonts w:hint="eastAsia" w:eastAsia="方正楷体_GBK"/>
          <w:bCs/>
          <w:kern w:val="0"/>
          <w:szCs w:val="32"/>
        </w:rPr>
        <w:t xml:space="preserve">1. </w:t>
      </w:r>
      <w:r>
        <w:rPr>
          <w:rFonts w:hint="eastAsia" w:ascii="方正楷体_GBK" w:eastAsia="方正楷体_GBK" w:cs="宋体"/>
          <w:bCs/>
          <w:kern w:val="0"/>
          <w:szCs w:val="32"/>
        </w:rPr>
        <w:t>建立环境保护一体化管理机制。</w:t>
      </w:r>
      <w:r>
        <w:rPr>
          <w:rFonts w:hint="eastAsia" w:cs="宋体"/>
          <w:kern w:val="0"/>
          <w:szCs w:val="32"/>
        </w:rPr>
        <w:t>加强行业部门间的交流与沟通，综合考虑产业基础、资源环境承载能力和比较优势进行产业布局。深入贯彻落实《环境保护法》《环评法》等政策法规要求，完善监督考核和公众参与机制。</w:t>
      </w:r>
    </w:p>
    <w:p>
      <w:pPr>
        <w:ind w:firstLine="640"/>
        <w:rPr>
          <w:rFonts w:cs="宋体"/>
          <w:kern w:val="0"/>
          <w:szCs w:val="32"/>
        </w:rPr>
      </w:pPr>
      <w:r>
        <w:rPr>
          <w:rFonts w:hint="eastAsia" w:eastAsia="方正楷体_GBK"/>
          <w:bCs/>
          <w:kern w:val="0"/>
          <w:szCs w:val="32"/>
        </w:rPr>
        <w:t xml:space="preserve">2. </w:t>
      </w:r>
      <w:r>
        <w:rPr>
          <w:rFonts w:hint="eastAsia" w:ascii="方正楷体_GBK" w:eastAsia="方正楷体_GBK" w:cs="宋体"/>
          <w:bCs/>
          <w:kern w:val="0"/>
          <w:szCs w:val="32"/>
        </w:rPr>
        <w:t>强化污染物排放总量防控。</w:t>
      </w:r>
      <w:r>
        <w:rPr>
          <w:rFonts w:hint="eastAsia" w:cs="宋体"/>
          <w:kern w:val="0"/>
          <w:szCs w:val="32"/>
        </w:rPr>
        <w:t>持续压减存量污染物排放量。大力发展循环经济、绿色经济和</w:t>
      </w:r>
      <w:r>
        <w:rPr>
          <w:rFonts w:hint="eastAsia" w:cs="宋体"/>
          <w:bCs/>
          <w:kern w:val="0"/>
          <w:szCs w:val="32"/>
        </w:rPr>
        <w:t>低碳经济，</w:t>
      </w:r>
      <w:r>
        <w:rPr>
          <w:rFonts w:hint="eastAsia" w:cs="宋体"/>
          <w:kern w:val="0"/>
          <w:szCs w:val="32"/>
        </w:rPr>
        <w:t>深入实施工业企业资源利用绩效评价，大力普及绿色制造、服务型制造、清洁生产等新模式，优化提升传统优势产业，切实从源头上压减污染物排放量。强化对新增污染物排放的防控。持续加大对新一代信息技术、高端装备制造、节能环保等“三低三高”（低污染、低能耗、低物耗、高技术、高附加值、高市场前景）的创新驱动型产业支持力度，推动产业结构向绿色化转型升级。根据环境质量改善目标，审慎选择新建项目，针对排放量临近或超过控制标准的因子所涉行业、工艺、产品等，制定更加严格的环境准入标准，最大限度降低新建项目对环境的影响，确保制造业发展始终保持在</w:t>
      </w:r>
      <w:r>
        <w:t>环境容量之内</w:t>
      </w:r>
      <w:r>
        <w:rPr>
          <w:rFonts w:hint="eastAsia" w:cs="宋体"/>
          <w:kern w:val="0"/>
          <w:szCs w:val="32"/>
        </w:rPr>
        <w:t>。</w:t>
      </w:r>
    </w:p>
    <w:p>
      <w:pPr>
        <w:ind w:firstLine="640"/>
        <w:rPr>
          <w:rFonts w:cs="宋体"/>
          <w:b/>
          <w:kern w:val="0"/>
          <w:szCs w:val="32"/>
        </w:rPr>
      </w:pPr>
      <w:r>
        <w:rPr>
          <w:rFonts w:hint="eastAsia" w:eastAsia="方正楷体_GBK"/>
          <w:bCs/>
          <w:kern w:val="0"/>
          <w:szCs w:val="32"/>
        </w:rPr>
        <w:t xml:space="preserve">3. </w:t>
      </w:r>
      <w:r>
        <w:rPr>
          <w:rFonts w:hint="eastAsia" w:ascii="方正楷体_GBK" w:eastAsia="方正楷体_GBK" w:cs="宋体"/>
          <w:bCs/>
          <w:kern w:val="0"/>
          <w:szCs w:val="32"/>
        </w:rPr>
        <w:t>加强污染治理能力建设。</w:t>
      </w:r>
      <w:r>
        <w:rPr>
          <w:rFonts w:hint="eastAsia" w:cs="宋体"/>
          <w:kern w:val="0"/>
          <w:szCs w:val="32"/>
        </w:rPr>
        <w:t>推动企业实施生态化设计与改造，提高废弃物和废水资源化利用水平。加强环保基础设施和应急能力建设，持续加强市政污水、固废等集中处理设施建设。大力推动排污权交易市场建设，健全市场化多元化的生态补偿和环境赔偿双向机制，培育第三方专业化生态修复和环保运行组织机构，推行环境污染第三方治理。强化重点领域环境风险预警管控，对存在重大环境安全隐患且整治不力的企业纳入社会信用体系，限期整改。落实四级环境风险防控机制，充实环境应急管理救援队伍，储备环境应急救援物资。</w:t>
      </w:r>
    </w:p>
    <w:p>
      <w:pPr>
        <w:ind w:firstLine="643"/>
      </w:pPr>
      <w:r>
        <w:rPr>
          <w:rFonts w:hint="eastAsia" w:cs="宋体"/>
          <w:b/>
          <w:kern w:val="0"/>
          <w:szCs w:val="32"/>
        </w:rPr>
        <w:t>总体上看</w:t>
      </w:r>
      <w:r>
        <w:rPr>
          <w:rFonts w:hint="eastAsia" w:cs="宋体"/>
          <w:kern w:val="0"/>
          <w:szCs w:val="32"/>
        </w:rPr>
        <w:t>，《规划》与全市国民经济规划纲要的发展理念、思路目标相协调，具有较好的合理性和可行性。规划提出的预防或者减轻不良环境影响的措施合理有效，在各项减缓措施、环境保护要求得到有效贯彻实施的条件下，产业发展不会对无锡市的环境质量、生态系统结构完整性和功能稳定性造成明显不良影响。</w:t>
      </w:r>
    </w:p>
    <w:bookmarkEnd w:id="82"/>
    <w:bookmarkEnd w:id="83"/>
    <w:bookmarkEnd w:id="84"/>
    <w:p>
      <w:pPr>
        <w:tabs>
          <w:tab w:val="left" w:pos="826"/>
        </w:tabs>
        <w:ind w:firstLineChars="0"/>
        <w:rPr>
          <w:rFonts w:cs="宋体"/>
          <w:kern w:val="0"/>
          <w:szCs w:val="32"/>
        </w:rPr>
      </w:pPr>
    </w:p>
    <w:sectPr>
      <w:footerReference r:id="rId12" w:type="default"/>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5085"/>
      </w:tabs>
      <w:ind w:firstLine="0" w:firstLineChars="0"/>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0576043"/>
    </w:sdtPr>
    <w:sdtEndPr>
      <w:rPr>
        <w:sz w:val="24"/>
      </w:rPr>
    </w:sdtEndPr>
    <w:sdtContent>
      <w:p>
        <w:pPr>
          <w:pStyle w:val="12"/>
          <w:ind w:firstLine="0" w:firstLineChars="0"/>
          <w:jc w:val="center"/>
          <w:rPr>
            <w:sz w:val="24"/>
          </w:rPr>
        </w:pPr>
        <w:r>
          <w:rPr>
            <w:sz w:val="24"/>
          </w:rPr>
          <w:t>—</w:t>
        </w:r>
        <w:r>
          <w:rPr>
            <w:sz w:val="24"/>
          </w:rPr>
          <w:fldChar w:fldCharType="begin"/>
        </w:r>
        <w:r>
          <w:rPr>
            <w:sz w:val="24"/>
          </w:rPr>
          <w:instrText xml:space="preserve">PAGE   \* MERGEFORMAT</w:instrText>
        </w:r>
        <w:r>
          <w:rPr>
            <w:sz w:val="24"/>
          </w:rPr>
          <w:fldChar w:fldCharType="separate"/>
        </w:r>
        <w:r>
          <w:rPr>
            <w:sz w:val="24"/>
            <w:lang w:val="zh-CN"/>
          </w:rPr>
          <w:t>II</w:t>
        </w:r>
        <w:r>
          <w:rPr>
            <w:sz w:val="24"/>
          </w:rPr>
          <w:fldChar w:fldCharType="end"/>
        </w:r>
        <w:r>
          <w:rPr>
            <w:sz w:val="24"/>
          </w:rPr>
          <w:t>—</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7769386"/>
    </w:sdtPr>
    <w:sdtEndPr>
      <w:rPr>
        <w:sz w:val="24"/>
      </w:rPr>
    </w:sdtEndPr>
    <w:sdtContent>
      <w:p>
        <w:pPr>
          <w:pStyle w:val="12"/>
          <w:ind w:firstLine="0" w:firstLineChars="0"/>
          <w:jc w:val="center"/>
          <w:rPr>
            <w:sz w:val="24"/>
          </w:rPr>
        </w:pPr>
        <w:r>
          <w:rPr>
            <w:sz w:val="24"/>
          </w:rPr>
          <w:t>—</w:t>
        </w:r>
        <w:r>
          <w:rPr>
            <w:sz w:val="24"/>
          </w:rPr>
          <w:fldChar w:fldCharType="begin"/>
        </w:r>
        <w:r>
          <w:rPr>
            <w:sz w:val="24"/>
          </w:rPr>
          <w:instrText xml:space="preserve">PAGE   \* MERGEFORMAT</w:instrText>
        </w:r>
        <w:r>
          <w:rPr>
            <w:sz w:val="24"/>
          </w:rPr>
          <w:fldChar w:fldCharType="separate"/>
        </w:r>
        <w:r>
          <w:rPr>
            <w:sz w:val="24"/>
            <w:lang w:val="zh-CN"/>
          </w:rPr>
          <w:t>12</w:t>
        </w:r>
        <w:r>
          <w:rPr>
            <w:sz w:val="24"/>
          </w:rPr>
          <w:fldChar w:fldCharType="end"/>
        </w:r>
        <w:r>
          <w:rPr>
            <w:sz w:val="24"/>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pPr>
        <w:spacing w:line="240" w:lineRule="auto"/>
        <w:ind w:firstLine="640"/>
      </w:pPr>
      <w:r>
        <w:separator/>
      </w:r>
    </w:p>
  </w:footnote>
  <w:footnote w:type="continuationSeparator" w:id="5">
    <w:p>
      <w:pPr>
        <w:spacing w:line="240" w:lineRule="auto"/>
        <w:ind w:firstLine="640"/>
      </w:pPr>
      <w:r>
        <w:continuationSeparator/>
      </w:r>
    </w:p>
  </w:footnote>
  <w:footnote w:id="0">
    <w:p>
      <w:pPr>
        <w:pStyle w:val="16"/>
        <w:spacing w:line="240" w:lineRule="auto"/>
        <w:ind w:firstLine="0" w:firstLineChars="0"/>
        <w:rPr>
          <w:sz w:val="21"/>
          <w:szCs w:val="21"/>
        </w:rPr>
      </w:pPr>
      <w:r>
        <w:rPr>
          <w:rStyle w:val="31"/>
        </w:rPr>
        <w:footnoteRef/>
      </w:r>
      <w:r>
        <w:t xml:space="preserve"> </w:t>
      </w:r>
      <w:r>
        <w:rPr>
          <w:rFonts w:hint="eastAsia" w:cs="方正仿宋_GBK"/>
          <w:kern w:val="0"/>
          <w:sz w:val="21"/>
          <w:szCs w:val="21"/>
        </w:rPr>
        <w:t>产业资源共享、协同技术攻关、专业人才培育、产业咨询研究、行业应用推广、产业资本加速</w:t>
      </w:r>
    </w:p>
  </w:footnote>
  <w:footnote w:id="1">
    <w:p>
      <w:pPr>
        <w:pStyle w:val="16"/>
        <w:spacing w:line="240" w:lineRule="auto"/>
        <w:ind w:firstLine="0" w:firstLineChars="0"/>
        <w:rPr>
          <w:rFonts w:cs="方正仿宋_GBK"/>
          <w:color w:val="FF0000"/>
          <w:kern w:val="0"/>
          <w:sz w:val="21"/>
          <w:szCs w:val="21"/>
        </w:rPr>
      </w:pPr>
      <w:r>
        <w:rPr>
          <w:rStyle w:val="31"/>
          <w:sz w:val="21"/>
          <w:szCs w:val="21"/>
        </w:rPr>
        <w:footnoteRef/>
      </w:r>
      <w:r>
        <w:t xml:space="preserve"> </w:t>
      </w:r>
      <w:r>
        <w:rPr>
          <w:rFonts w:hint="eastAsia" w:cs="方正仿宋_GBK"/>
          <w:kern w:val="0"/>
          <w:sz w:val="21"/>
          <w:szCs w:val="21"/>
        </w:rPr>
        <w:t>即制定一个产业发展规划、成立一个集群发展促进机构、搭建一个配套协作平台、建设一个协同创新平台、成立一个产业发展基金、举办一场大型综合招商推介会</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4"/>
    <w:footnote w:id="5"/>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DA3"/>
    <w:rsid w:val="000004A0"/>
    <w:rsid w:val="000009F3"/>
    <w:rsid w:val="00001573"/>
    <w:rsid w:val="000016E8"/>
    <w:rsid w:val="00002668"/>
    <w:rsid w:val="000029A7"/>
    <w:rsid w:val="00003584"/>
    <w:rsid w:val="00003737"/>
    <w:rsid w:val="00003ADE"/>
    <w:rsid w:val="000040E9"/>
    <w:rsid w:val="0000428F"/>
    <w:rsid w:val="00004445"/>
    <w:rsid w:val="00004496"/>
    <w:rsid w:val="00004E19"/>
    <w:rsid w:val="000053E5"/>
    <w:rsid w:val="0000610C"/>
    <w:rsid w:val="00006B31"/>
    <w:rsid w:val="00007EB7"/>
    <w:rsid w:val="000103F7"/>
    <w:rsid w:val="00010801"/>
    <w:rsid w:val="00011A12"/>
    <w:rsid w:val="00011C2E"/>
    <w:rsid w:val="00012441"/>
    <w:rsid w:val="00012AE6"/>
    <w:rsid w:val="00013547"/>
    <w:rsid w:val="00013A1B"/>
    <w:rsid w:val="00013FF8"/>
    <w:rsid w:val="000143E2"/>
    <w:rsid w:val="0001591E"/>
    <w:rsid w:val="00016111"/>
    <w:rsid w:val="00016B9B"/>
    <w:rsid w:val="00016EE8"/>
    <w:rsid w:val="00017B3C"/>
    <w:rsid w:val="0002002A"/>
    <w:rsid w:val="00020329"/>
    <w:rsid w:val="000204D9"/>
    <w:rsid w:val="000206D2"/>
    <w:rsid w:val="00020CC3"/>
    <w:rsid w:val="0002114D"/>
    <w:rsid w:val="00021838"/>
    <w:rsid w:val="00022117"/>
    <w:rsid w:val="00022364"/>
    <w:rsid w:val="000226D7"/>
    <w:rsid w:val="00022E7B"/>
    <w:rsid w:val="00023180"/>
    <w:rsid w:val="00023665"/>
    <w:rsid w:val="00023815"/>
    <w:rsid w:val="00023937"/>
    <w:rsid w:val="00023A34"/>
    <w:rsid w:val="00024EBF"/>
    <w:rsid w:val="000253A3"/>
    <w:rsid w:val="00026233"/>
    <w:rsid w:val="00027A04"/>
    <w:rsid w:val="00027CC6"/>
    <w:rsid w:val="00030661"/>
    <w:rsid w:val="0003081B"/>
    <w:rsid w:val="000308D0"/>
    <w:rsid w:val="00030AE5"/>
    <w:rsid w:val="00030ED5"/>
    <w:rsid w:val="0003122A"/>
    <w:rsid w:val="00031595"/>
    <w:rsid w:val="0003170B"/>
    <w:rsid w:val="00032DCD"/>
    <w:rsid w:val="00032E60"/>
    <w:rsid w:val="00033362"/>
    <w:rsid w:val="000335EC"/>
    <w:rsid w:val="00034C69"/>
    <w:rsid w:val="00035454"/>
    <w:rsid w:val="000359BF"/>
    <w:rsid w:val="00035BFF"/>
    <w:rsid w:val="00035C1B"/>
    <w:rsid w:val="00036080"/>
    <w:rsid w:val="000360CD"/>
    <w:rsid w:val="000363BC"/>
    <w:rsid w:val="00036700"/>
    <w:rsid w:val="00036A81"/>
    <w:rsid w:val="00037593"/>
    <w:rsid w:val="000378D3"/>
    <w:rsid w:val="00040B66"/>
    <w:rsid w:val="00040C25"/>
    <w:rsid w:val="00040E8B"/>
    <w:rsid w:val="000419BA"/>
    <w:rsid w:val="000429DF"/>
    <w:rsid w:val="00043518"/>
    <w:rsid w:val="00043B4D"/>
    <w:rsid w:val="00043C9E"/>
    <w:rsid w:val="00043EEA"/>
    <w:rsid w:val="00043EF7"/>
    <w:rsid w:val="00044693"/>
    <w:rsid w:val="00044C06"/>
    <w:rsid w:val="00044E8C"/>
    <w:rsid w:val="00044ED4"/>
    <w:rsid w:val="000458E9"/>
    <w:rsid w:val="00045F5B"/>
    <w:rsid w:val="000462CE"/>
    <w:rsid w:val="0004720C"/>
    <w:rsid w:val="00047306"/>
    <w:rsid w:val="00047337"/>
    <w:rsid w:val="000476D4"/>
    <w:rsid w:val="00047F79"/>
    <w:rsid w:val="00050327"/>
    <w:rsid w:val="00051228"/>
    <w:rsid w:val="000512CF"/>
    <w:rsid w:val="00052131"/>
    <w:rsid w:val="00052661"/>
    <w:rsid w:val="00052756"/>
    <w:rsid w:val="0005275D"/>
    <w:rsid w:val="00052DD0"/>
    <w:rsid w:val="00053BB0"/>
    <w:rsid w:val="00053D64"/>
    <w:rsid w:val="00053DCA"/>
    <w:rsid w:val="000540E9"/>
    <w:rsid w:val="00054568"/>
    <w:rsid w:val="00054804"/>
    <w:rsid w:val="0005488D"/>
    <w:rsid w:val="00056203"/>
    <w:rsid w:val="000566EF"/>
    <w:rsid w:val="0005699E"/>
    <w:rsid w:val="00056A95"/>
    <w:rsid w:val="00056BBC"/>
    <w:rsid w:val="00057532"/>
    <w:rsid w:val="00060456"/>
    <w:rsid w:val="00061380"/>
    <w:rsid w:val="0006183A"/>
    <w:rsid w:val="00061988"/>
    <w:rsid w:val="000619F2"/>
    <w:rsid w:val="000620C2"/>
    <w:rsid w:val="0006317B"/>
    <w:rsid w:val="00063278"/>
    <w:rsid w:val="0006330B"/>
    <w:rsid w:val="000633FA"/>
    <w:rsid w:val="0006369C"/>
    <w:rsid w:val="00064573"/>
    <w:rsid w:val="00065657"/>
    <w:rsid w:val="00065A99"/>
    <w:rsid w:val="00065B7A"/>
    <w:rsid w:val="00065C3B"/>
    <w:rsid w:val="00065CE3"/>
    <w:rsid w:val="00066048"/>
    <w:rsid w:val="000660BC"/>
    <w:rsid w:val="000669BC"/>
    <w:rsid w:val="00066A93"/>
    <w:rsid w:val="00066E04"/>
    <w:rsid w:val="000673E6"/>
    <w:rsid w:val="0006761A"/>
    <w:rsid w:val="00067F02"/>
    <w:rsid w:val="00067F6D"/>
    <w:rsid w:val="00070225"/>
    <w:rsid w:val="00071C9E"/>
    <w:rsid w:val="00072968"/>
    <w:rsid w:val="00072FC2"/>
    <w:rsid w:val="00073203"/>
    <w:rsid w:val="000732A7"/>
    <w:rsid w:val="00073C20"/>
    <w:rsid w:val="00074221"/>
    <w:rsid w:val="0007496F"/>
    <w:rsid w:val="000758E6"/>
    <w:rsid w:val="00075B1F"/>
    <w:rsid w:val="0007602F"/>
    <w:rsid w:val="000760A1"/>
    <w:rsid w:val="000760E0"/>
    <w:rsid w:val="000763CE"/>
    <w:rsid w:val="00076B88"/>
    <w:rsid w:val="00077901"/>
    <w:rsid w:val="00077F3B"/>
    <w:rsid w:val="00080616"/>
    <w:rsid w:val="00081042"/>
    <w:rsid w:val="000812AF"/>
    <w:rsid w:val="00081CDE"/>
    <w:rsid w:val="000822AD"/>
    <w:rsid w:val="000827F6"/>
    <w:rsid w:val="00083331"/>
    <w:rsid w:val="00084427"/>
    <w:rsid w:val="00085480"/>
    <w:rsid w:val="00085B3F"/>
    <w:rsid w:val="0008627B"/>
    <w:rsid w:val="0008639C"/>
    <w:rsid w:val="000879E3"/>
    <w:rsid w:val="00087B62"/>
    <w:rsid w:val="000900D7"/>
    <w:rsid w:val="00090788"/>
    <w:rsid w:val="00090C94"/>
    <w:rsid w:val="00090D28"/>
    <w:rsid w:val="00091256"/>
    <w:rsid w:val="000912C7"/>
    <w:rsid w:val="0009147E"/>
    <w:rsid w:val="0009372B"/>
    <w:rsid w:val="00093AE7"/>
    <w:rsid w:val="00093CB7"/>
    <w:rsid w:val="00093FD9"/>
    <w:rsid w:val="00094611"/>
    <w:rsid w:val="000950CA"/>
    <w:rsid w:val="00097549"/>
    <w:rsid w:val="000976C2"/>
    <w:rsid w:val="000A0130"/>
    <w:rsid w:val="000A07A0"/>
    <w:rsid w:val="000A0AAE"/>
    <w:rsid w:val="000A0B26"/>
    <w:rsid w:val="000A120F"/>
    <w:rsid w:val="000A123D"/>
    <w:rsid w:val="000A14F1"/>
    <w:rsid w:val="000A1CE1"/>
    <w:rsid w:val="000A1E89"/>
    <w:rsid w:val="000A1EAB"/>
    <w:rsid w:val="000A1F23"/>
    <w:rsid w:val="000A2062"/>
    <w:rsid w:val="000A2134"/>
    <w:rsid w:val="000A2577"/>
    <w:rsid w:val="000A2AC6"/>
    <w:rsid w:val="000A2ECB"/>
    <w:rsid w:val="000A38E1"/>
    <w:rsid w:val="000A44E4"/>
    <w:rsid w:val="000A52A6"/>
    <w:rsid w:val="000A5A43"/>
    <w:rsid w:val="000A5AB4"/>
    <w:rsid w:val="000A5D45"/>
    <w:rsid w:val="000A5E2C"/>
    <w:rsid w:val="000A5E8C"/>
    <w:rsid w:val="000A6616"/>
    <w:rsid w:val="000A6D02"/>
    <w:rsid w:val="000A6DDF"/>
    <w:rsid w:val="000A7889"/>
    <w:rsid w:val="000A7CD9"/>
    <w:rsid w:val="000A7F79"/>
    <w:rsid w:val="000B15EE"/>
    <w:rsid w:val="000B1C98"/>
    <w:rsid w:val="000B206D"/>
    <w:rsid w:val="000B2090"/>
    <w:rsid w:val="000B23D9"/>
    <w:rsid w:val="000B2DF8"/>
    <w:rsid w:val="000B2E36"/>
    <w:rsid w:val="000B30EF"/>
    <w:rsid w:val="000B3AFE"/>
    <w:rsid w:val="000B3C48"/>
    <w:rsid w:val="000B4047"/>
    <w:rsid w:val="000B43A3"/>
    <w:rsid w:val="000B44DC"/>
    <w:rsid w:val="000B4597"/>
    <w:rsid w:val="000B4661"/>
    <w:rsid w:val="000B47AA"/>
    <w:rsid w:val="000B48FA"/>
    <w:rsid w:val="000B49B4"/>
    <w:rsid w:val="000B4E84"/>
    <w:rsid w:val="000B53B6"/>
    <w:rsid w:val="000B548B"/>
    <w:rsid w:val="000B56A4"/>
    <w:rsid w:val="000B5849"/>
    <w:rsid w:val="000B5A95"/>
    <w:rsid w:val="000B6036"/>
    <w:rsid w:val="000B66CD"/>
    <w:rsid w:val="000B6738"/>
    <w:rsid w:val="000B71E6"/>
    <w:rsid w:val="000B770A"/>
    <w:rsid w:val="000B7B41"/>
    <w:rsid w:val="000B7EE9"/>
    <w:rsid w:val="000B7FFC"/>
    <w:rsid w:val="000C0245"/>
    <w:rsid w:val="000C0E74"/>
    <w:rsid w:val="000C14B3"/>
    <w:rsid w:val="000C1D13"/>
    <w:rsid w:val="000C23DA"/>
    <w:rsid w:val="000C2644"/>
    <w:rsid w:val="000C2806"/>
    <w:rsid w:val="000C302C"/>
    <w:rsid w:val="000C32D7"/>
    <w:rsid w:val="000C3378"/>
    <w:rsid w:val="000C345C"/>
    <w:rsid w:val="000C3591"/>
    <w:rsid w:val="000C4C5E"/>
    <w:rsid w:val="000C51D8"/>
    <w:rsid w:val="000C533B"/>
    <w:rsid w:val="000C53C7"/>
    <w:rsid w:val="000C5BD1"/>
    <w:rsid w:val="000C5F3A"/>
    <w:rsid w:val="000C6209"/>
    <w:rsid w:val="000C68CE"/>
    <w:rsid w:val="000C6E72"/>
    <w:rsid w:val="000C7086"/>
    <w:rsid w:val="000C7294"/>
    <w:rsid w:val="000C7425"/>
    <w:rsid w:val="000D0273"/>
    <w:rsid w:val="000D0468"/>
    <w:rsid w:val="000D0BB3"/>
    <w:rsid w:val="000D0E91"/>
    <w:rsid w:val="000D131A"/>
    <w:rsid w:val="000D1F5C"/>
    <w:rsid w:val="000D2896"/>
    <w:rsid w:val="000D28F6"/>
    <w:rsid w:val="000D3E1D"/>
    <w:rsid w:val="000D4D27"/>
    <w:rsid w:val="000D5CAB"/>
    <w:rsid w:val="000D635A"/>
    <w:rsid w:val="000D6408"/>
    <w:rsid w:val="000D67A7"/>
    <w:rsid w:val="000D6C6D"/>
    <w:rsid w:val="000D7277"/>
    <w:rsid w:val="000D755A"/>
    <w:rsid w:val="000E0545"/>
    <w:rsid w:val="000E0D3F"/>
    <w:rsid w:val="000E13E4"/>
    <w:rsid w:val="000E1F1A"/>
    <w:rsid w:val="000E2597"/>
    <w:rsid w:val="000E2924"/>
    <w:rsid w:val="000E2B64"/>
    <w:rsid w:val="000E2CCA"/>
    <w:rsid w:val="000E343B"/>
    <w:rsid w:val="000E3550"/>
    <w:rsid w:val="000E3D44"/>
    <w:rsid w:val="000E4178"/>
    <w:rsid w:val="000E4B26"/>
    <w:rsid w:val="000E5171"/>
    <w:rsid w:val="000E575F"/>
    <w:rsid w:val="000E5AA0"/>
    <w:rsid w:val="000E5D92"/>
    <w:rsid w:val="000E5EFA"/>
    <w:rsid w:val="000E61A0"/>
    <w:rsid w:val="000E6E4B"/>
    <w:rsid w:val="000E71A0"/>
    <w:rsid w:val="000E7B3F"/>
    <w:rsid w:val="000E7BDA"/>
    <w:rsid w:val="000E7C3D"/>
    <w:rsid w:val="000F0065"/>
    <w:rsid w:val="000F067A"/>
    <w:rsid w:val="000F06F5"/>
    <w:rsid w:val="000F0CF7"/>
    <w:rsid w:val="000F176D"/>
    <w:rsid w:val="000F19BB"/>
    <w:rsid w:val="000F1EF2"/>
    <w:rsid w:val="000F1F27"/>
    <w:rsid w:val="000F2291"/>
    <w:rsid w:val="000F29C8"/>
    <w:rsid w:val="000F2A04"/>
    <w:rsid w:val="000F2E27"/>
    <w:rsid w:val="000F3030"/>
    <w:rsid w:val="000F4493"/>
    <w:rsid w:val="000F47F8"/>
    <w:rsid w:val="000F486F"/>
    <w:rsid w:val="000F4920"/>
    <w:rsid w:val="000F58D7"/>
    <w:rsid w:val="000F5A15"/>
    <w:rsid w:val="000F5A36"/>
    <w:rsid w:val="000F6261"/>
    <w:rsid w:val="000F761B"/>
    <w:rsid w:val="000F782E"/>
    <w:rsid w:val="000F791D"/>
    <w:rsid w:val="000F7ADA"/>
    <w:rsid w:val="00100432"/>
    <w:rsid w:val="0010078E"/>
    <w:rsid w:val="001007F4"/>
    <w:rsid w:val="00100A86"/>
    <w:rsid w:val="001020A5"/>
    <w:rsid w:val="00102FB8"/>
    <w:rsid w:val="00103F89"/>
    <w:rsid w:val="00104033"/>
    <w:rsid w:val="00104B97"/>
    <w:rsid w:val="0010511C"/>
    <w:rsid w:val="00105450"/>
    <w:rsid w:val="00105981"/>
    <w:rsid w:val="00106610"/>
    <w:rsid w:val="00106D06"/>
    <w:rsid w:val="00107AEE"/>
    <w:rsid w:val="00107C8B"/>
    <w:rsid w:val="001111E4"/>
    <w:rsid w:val="00111596"/>
    <w:rsid w:val="0011283A"/>
    <w:rsid w:val="00112F42"/>
    <w:rsid w:val="001132A7"/>
    <w:rsid w:val="0011362C"/>
    <w:rsid w:val="00113A41"/>
    <w:rsid w:val="00115270"/>
    <w:rsid w:val="00115F20"/>
    <w:rsid w:val="00116439"/>
    <w:rsid w:val="001169E5"/>
    <w:rsid w:val="00116A30"/>
    <w:rsid w:val="00116B44"/>
    <w:rsid w:val="00116CF2"/>
    <w:rsid w:val="00116F9E"/>
    <w:rsid w:val="0011701E"/>
    <w:rsid w:val="0011751D"/>
    <w:rsid w:val="001203CA"/>
    <w:rsid w:val="00122FD8"/>
    <w:rsid w:val="001230FF"/>
    <w:rsid w:val="00123516"/>
    <w:rsid w:val="001235FC"/>
    <w:rsid w:val="00123AE2"/>
    <w:rsid w:val="00123C91"/>
    <w:rsid w:val="00124875"/>
    <w:rsid w:val="00124A59"/>
    <w:rsid w:val="00124C5D"/>
    <w:rsid w:val="00125293"/>
    <w:rsid w:val="0012532F"/>
    <w:rsid w:val="001257EF"/>
    <w:rsid w:val="00125D68"/>
    <w:rsid w:val="001264F7"/>
    <w:rsid w:val="00126657"/>
    <w:rsid w:val="001269A9"/>
    <w:rsid w:val="00127015"/>
    <w:rsid w:val="00127260"/>
    <w:rsid w:val="00127D1F"/>
    <w:rsid w:val="00127D6E"/>
    <w:rsid w:val="00127E09"/>
    <w:rsid w:val="0013009E"/>
    <w:rsid w:val="0013080D"/>
    <w:rsid w:val="00130B22"/>
    <w:rsid w:val="00131410"/>
    <w:rsid w:val="001314B8"/>
    <w:rsid w:val="00131542"/>
    <w:rsid w:val="00131585"/>
    <w:rsid w:val="00131814"/>
    <w:rsid w:val="00131A2D"/>
    <w:rsid w:val="00131CD4"/>
    <w:rsid w:val="00131F25"/>
    <w:rsid w:val="001325AB"/>
    <w:rsid w:val="00132695"/>
    <w:rsid w:val="00132B59"/>
    <w:rsid w:val="00132C49"/>
    <w:rsid w:val="001333D2"/>
    <w:rsid w:val="00133B8D"/>
    <w:rsid w:val="00133DC9"/>
    <w:rsid w:val="00134539"/>
    <w:rsid w:val="001355A1"/>
    <w:rsid w:val="00135B05"/>
    <w:rsid w:val="00136706"/>
    <w:rsid w:val="00136E8D"/>
    <w:rsid w:val="00136EB1"/>
    <w:rsid w:val="00137467"/>
    <w:rsid w:val="0013759D"/>
    <w:rsid w:val="001376F1"/>
    <w:rsid w:val="0013777D"/>
    <w:rsid w:val="00137BD6"/>
    <w:rsid w:val="00137CF9"/>
    <w:rsid w:val="001406C9"/>
    <w:rsid w:val="00141105"/>
    <w:rsid w:val="00141113"/>
    <w:rsid w:val="00141581"/>
    <w:rsid w:val="00141865"/>
    <w:rsid w:val="0014197B"/>
    <w:rsid w:val="00141FD4"/>
    <w:rsid w:val="00142902"/>
    <w:rsid w:val="00142CF2"/>
    <w:rsid w:val="00142D6F"/>
    <w:rsid w:val="001430C1"/>
    <w:rsid w:val="001444EF"/>
    <w:rsid w:val="0014463A"/>
    <w:rsid w:val="0014488E"/>
    <w:rsid w:val="001461C9"/>
    <w:rsid w:val="001467C2"/>
    <w:rsid w:val="001474F6"/>
    <w:rsid w:val="001504B6"/>
    <w:rsid w:val="00150B57"/>
    <w:rsid w:val="00151756"/>
    <w:rsid w:val="001529EB"/>
    <w:rsid w:val="00152C1E"/>
    <w:rsid w:val="00152DFF"/>
    <w:rsid w:val="00152F11"/>
    <w:rsid w:val="00153078"/>
    <w:rsid w:val="00153937"/>
    <w:rsid w:val="00153979"/>
    <w:rsid w:val="001544E2"/>
    <w:rsid w:val="00154C7B"/>
    <w:rsid w:val="00154D78"/>
    <w:rsid w:val="00154E0F"/>
    <w:rsid w:val="001555EE"/>
    <w:rsid w:val="00155889"/>
    <w:rsid w:val="00155BEF"/>
    <w:rsid w:val="00155CC9"/>
    <w:rsid w:val="0015653D"/>
    <w:rsid w:val="001566EF"/>
    <w:rsid w:val="00156A5A"/>
    <w:rsid w:val="00156CC4"/>
    <w:rsid w:val="00156CF7"/>
    <w:rsid w:val="0015743A"/>
    <w:rsid w:val="00157C90"/>
    <w:rsid w:val="001601D1"/>
    <w:rsid w:val="00160425"/>
    <w:rsid w:val="0016050A"/>
    <w:rsid w:val="00160AB2"/>
    <w:rsid w:val="00160BAF"/>
    <w:rsid w:val="00160E97"/>
    <w:rsid w:val="001614C4"/>
    <w:rsid w:val="00161C6C"/>
    <w:rsid w:val="00161ECB"/>
    <w:rsid w:val="001620F3"/>
    <w:rsid w:val="00162625"/>
    <w:rsid w:val="0016336E"/>
    <w:rsid w:val="001633F2"/>
    <w:rsid w:val="00163A92"/>
    <w:rsid w:val="00163C5F"/>
    <w:rsid w:val="00163D5C"/>
    <w:rsid w:val="00164029"/>
    <w:rsid w:val="001641D0"/>
    <w:rsid w:val="001641F5"/>
    <w:rsid w:val="001645AE"/>
    <w:rsid w:val="001651D5"/>
    <w:rsid w:val="00165946"/>
    <w:rsid w:val="00165A60"/>
    <w:rsid w:val="00165B8D"/>
    <w:rsid w:val="00165C8A"/>
    <w:rsid w:val="00166E3A"/>
    <w:rsid w:val="001677D7"/>
    <w:rsid w:val="00167B97"/>
    <w:rsid w:val="0017041A"/>
    <w:rsid w:val="001706D1"/>
    <w:rsid w:val="001707CC"/>
    <w:rsid w:val="00170A7B"/>
    <w:rsid w:val="00170CBC"/>
    <w:rsid w:val="00170F60"/>
    <w:rsid w:val="001711CC"/>
    <w:rsid w:val="001711CD"/>
    <w:rsid w:val="0017122B"/>
    <w:rsid w:val="00171AF4"/>
    <w:rsid w:val="00171DF0"/>
    <w:rsid w:val="00172980"/>
    <w:rsid w:val="00172A3A"/>
    <w:rsid w:val="00172EB5"/>
    <w:rsid w:val="00173454"/>
    <w:rsid w:val="00174360"/>
    <w:rsid w:val="001747FB"/>
    <w:rsid w:val="0017531E"/>
    <w:rsid w:val="0017537C"/>
    <w:rsid w:val="0017694C"/>
    <w:rsid w:val="00176C5B"/>
    <w:rsid w:val="00177199"/>
    <w:rsid w:val="001771F9"/>
    <w:rsid w:val="00177A6E"/>
    <w:rsid w:val="00177AA1"/>
    <w:rsid w:val="00180241"/>
    <w:rsid w:val="00180315"/>
    <w:rsid w:val="00180F49"/>
    <w:rsid w:val="00180FB5"/>
    <w:rsid w:val="00182079"/>
    <w:rsid w:val="00182F96"/>
    <w:rsid w:val="0018338F"/>
    <w:rsid w:val="0018373E"/>
    <w:rsid w:val="00183923"/>
    <w:rsid w:val="001839B2"/>
    <w:rsid w:val="0018572D"/>
    <w:rsid w:val="001868F9"/>
    <w:rsid w:val="00186C31"/>
    <w:rsid w:val="0018746D"/>
    <w:rsid w:val="00187C7F"/>
    <w:rsid w:val="00187E77"/>
    <w:rsid w:val="00190358"/>
    <w:rsid w:val="0019077D"/>
    <w:rsid w:val="00190BF9"/>
    <w:rsid w:val="00190EB4"/>
    <w:rsid w:val="00191106"/>
    <w:rsid w:val="001917F2"/>
    <w:rsid w:val="001917FA"/>
    <w:rsid w:val="0019194E"/>
    <w:rsid w:val="00191D5C"/>
    <w:rsid w:val="00191E28"/>
    <w:rsid w:val="00191EE6"/>
    <w:rsid w:val="001924B5"/>
    <w:rsid w:val="001926D0"/>
    <w:rsid w:val="0019270D"/>
    <w:rsid w:val="001932E5"/>
    <w:rsid w:val="0019331E"/>
    <w:rsid w:val="00193579"/>
    <w:rsid w:val="00193A00"/>
    <w:rsid w:val="00193CD2"/>
    <w:rsid w:val="00193F10"/>
    <w:rsid w:val="00194383"/>
    <w:rsid w:val="001945F1"/>
    <w:rsid w:val="00194B02"/>
    <w:rsid w:val="001951BD"/>
    <w:rsid w:val="001953BB"/>
    <w:rsid w:val="001958B8"/>
    <w:rsid w:val="001958ED"/>
    <w:rsid w:val="00195A9F"/>
    <w:rsid w:val="00195B66"/>
    <w:rsid w:val="00196848"/>
    <w:rsid w:val="00196B54"/>
    <w:rsid w:val="00196E5B"/>
    <w:rsid w:val="00196FCE"/>
    <w:rsid w:val="0019730D"/>
    <w:rsid w:val="001978D6"/>
    <w:rsid w:val="00197B26"/>
    <w:rsid w:val="00197FAA"/>
    <w:rsid w:val="001A044D"/>
    <w:rsid w:val="001A049E"/>
    <w:rsid w:val="001A1165"/>
    <w:rsid w:val="001A1912"/>
    <w:rsid w:val="001A1B46"/>
    <w:rsid w:val="001A1C16"/>
    <w:rsid w:val="001A1CB5"/>
    <w:rsid w:val="001A1D49"/>
    <w:rsid w:val="001A1ECE"/>
    <w:rsid w:val="001A23A5"/>
    <w:rsid w:val="001A25E9"/>
    <w:rsid w:val="001A2667"/>
    <w:rsid w:val="001A28C0"/>
    <w:rsid w:val="001A2C87"/>
    <w:rsid w:val="001A4199"/>
    <w:rsid w:val="001A4295"/>
    <w:rsid w:val="001A46F3"/>
    <w:rsid w:val="001A488D"/>
    <w:rsid w:val="001A4B82"/>
    <w:rsid w:val="001A5B23"/>
    <w:rsid w:val="001A5E50"/>
    <w:rsid w:val="001A63FE"/>
    <w:rsid w:val="001A6625"/>
    <w:rsid w:val="001A67CA"/>
    <w:rsid w:val="001A6AEE"/>
    <w:rsid w:val="001A6BF0"/>
    <w:rsid w:val="001A71C6"/>
    <w:rsid w:val="001A7233"/>
    <w:rsid w:val="001B0725"/>
    <w:rsid w:val="001B07AC"/>
    <w:rsid w:val="001B139E"/>
    <w:rsid w:val="001B1B6E"/>
    <w:rsid w:val="001B1BA9"/>
    <w:rsid w:val="001B23F0"/>
    <w:rsid w:val="001B2678"/>
    <w:rsid w:val="001B2E8A"/>
    <w:rsid w:val="001B2F9E"/>
    <w:rsid w:val="001B2FA1"/>
    <w:rsid w:val="001B3753"/>
    <w:rsid w:val="001B3AE0"/>
    <w:rsid w:val="001B3B26"/>
    <w:rsid w:val="001B3D5B"/>
    <w:rsid w:val="001B44CE"/>
    <w:rsid w:val="001B4754"/>
    <w:rsid w:val="001B5231"/>
    <w:rsid w:val="001B5322"/>
    <w:rsid w:val="001B5342"/>
    <w:rsid w:val="001B6DFE"/>
    <w:rsid w:val="001B744F"/>
    <w:rsid w:val="001B747D"/>
    <w:rsid w:val="001B7A63"/>
    <w:rsid w:val="001C0082"/>
    <w:rsid w:val="001C061E"/>
    <w:rsid w:val="001C0A62"/>
    <w:rsid w:val="001C103A"/>
    <w:rsid w:val="001C10F2"/>
    <w:rsid w:val="001C1325"/>
    <w:rsid w:val="001C1736"/>
    <w:rsid w:val="001C1DB7"/>
    <w:rsid w:val="001C1ED8"/>
    <w:rsid w:val="001C2084"/>
    <w:rsid w:val="001C2227"/>
    <w:rsid w:val="001C2471"/>
    <w:rsid w:val="001C2B88"/>
    <w:rsid w:val="001C3030"/>
    <w:rsid w:val="001C314D"/>
    <w:rsid w:val="001C3CE3"/>
    <w:rsid w:val="001C3F23"/>
    <w:rsid w:val="001C4199"/>
    <w:rsid w:val="001C473E"/>
    <w:rsid w:val="001C4B79"/>
    <w:rsid w:val="001C4C31"/>
    <w:rsid w:val="001C4F16"/>
    <w:rsid w:val="001C5292"/>
    <w:rsid w:val="001C5345"/>
    <w:rsid w:val="001C58A6"/>
    <w:rsid w:val="001C62C9"/>
    <w:rsid w:val="001C6C95"/>
    <w:rsid w:val="001C6D9D"/>
    <w:rsid w:val="001C6FF9"/>
    <w:rsid w:val="001C7D93"/>
    <w:rsid w:val="001D0260"/>
    <w:rsid w:val="001D0BBF"/>
    <w:rsid w:val="001D117C"/>
    <w:rsid w:val="001D1C51"/>
    <w:rsid w:val="001D1FE3"/>
    <w:rsid w:val="001D2065"/>
    <w:rsid w:val="001D27B9"/>
    <w:rsid w:val="001D2B16"/>
    <w:rsid w:val="001D2C4B"/>
    <w:rsid w:val="001D3581"/>
    <w:rsid w:val="001D4503"/>
    <w:rsid w:val="001D46E9"/>
    <w:rsid w:val="001D52A9"/>
    <w:rsid w:val="001D5734"/>
    <w:rsid w:val="001D605C"/>
    <w:rsid w:val="001D6139"/>
    <w:rsid w:val="001D61DD"/>
    <w:rsid w:val="001D6300"/>
    <w:rsid w:val="001D6315"/>
    <w:rsid w:val="001D6A7C"/>
    <w:rsid w:val="001D6D88"/>
    <w:rsid w:val="001D7086"/>
    <w:rsid w:val="001D75DE"/>
    <w:rsid w:val="001D76DF"/>
    <w:rsid w:val="001E024A"/>
    <w:rsid w:val="001E0492"/>
    <w:rsid w:val="001E0910"/>
    <w:rsid w:val="001E0D3C"/>
    <w:rsid w:val="001E0D9E"/>
    <w:rsid w:val="001E0E10"/>
    <w:rsid w:val="001E1268"/>
    <w:rsid w:val="001E12D0"/>
    <w:rsid w:val="001E1BA3"/>
    <w:rsid w:val="001E1C66"/>
    <w:rsid w:val="001E1CFC"/>
    <w:rsid w:val="001E20AF"/>
    <w:rsid w:val="001E21F7"/>
    <w:rsid w:val="001E266C"/>
    <w:rsid w:val="001E2825"/>
    <w:rsid w:val="001E294B"/>
    <w:rsid w:val="001E311E"/>
    <w:rsid w:val="001E33CB"/>
    <w:rsid w:val="001E3651"/>
    <w:rsid w:val="001E3ADD"/>
    <w:rsid w:val="001E446F"/>
    <w:rsid w:val="001E45C0"/>
    <w:rsid w:val="001E4CD1"/>
    <w:rsid w:val="001E4FAE"/>
    <w:rsid w:val="001E5085"/>
    <w:rsid w:val="001E51B2"/>
    <w:rsid w:val="001E51F8"/>
    <w:rsid w:val="001E538E"/>
    <w:rsid w:val="001E63F8"/>
    <w:rsid w:val="001E6999"/>
    <w:rsid w:val="001E6E67"/>
    <w:rsid w:val="001E6F58"/>
    <w:rsid w:val="001E768E"/>
    <w:rsid w:val="001E76B8"/>
    <w:rsid w:val="001F0085"/>
    <w:rsid w:val="001F0CCD"/>
    <w:rsid w:val="001F0F07"/>
    <w:rsid w:val="001F12E8"/>
    <w:rsid w:val="001F16BB"/>
    <w:rsid w:val="001F1EE8"/>
    <w:rsid w:val="001F2ECE"/>
    <w:rsid w:val="001F300C"/>
    <w:rsid w:val="001F3185"/>
    <w:rsid w:val="001F38C4"/>
    <w:rsid w:val="001F3B9F"/>
    <w:rsid w:val="001F4B63"/>
    <w:rsid w:val="001F5C91"/>
    <w:rsid w:val="001F64AD"/>
    <w:rsid w:val="001F6BFF"/>
    <w:rsid w:val="001F6F1C"/>
    <w:rsid w:val="001F6F62"/>
    <w:rsid w:val="001F75E3"/>
    <w:rsid w:val="001F794D"/>
    <w:rsid w:val="001F7FF2"/>
    <w:rsid w:val="0020001E"/>
    <w:rsid w:val="00200229"/>
    <w:rsid w:val="0020040D"/>
    <w:rsid w:val="00200B30"/>
    <w:rsid w:val="00200E2B"/>
    <w:rsid w:val="00201D8C"/>
    <w:rsid w:val="00201EA9"/>
    <w:rsid w:val="00201EC2"/>
    <w:rsid w:val="00202297"/>
    <w:rsid w:val="002026FF"/>
    <w:rsid w:val="00203255"/>
    <w:rsid w:val="00203552"/>
    <w:rsid w:val="002035A9"/>
    <w:rsid w:val="0020408F"/>
    <w:rsid w:val="00204683"/>
    <w:rsid w:val="00205385"/>
    <w:rsid w:val="00205401"/>
    <w:rsid w:val="002061A5"/>
    <w:rsid w:val="0020653B"/>
    <w:rsid w:val="00206860"/>
    <w:rsid w:val="002069E2"/>
    <w:rsid w:val="00206C38"/>
    <w:rsid w:val="00206D51"/>
    <w:rsid w:val="00207699"/>
    <w:rsid w:val="00207A93"/>
    <w:rsid w:val="00207C80"/>
    <w:rsid w:val="00211E11"/>
    <w:rsid w:val="002126D3"/>
    <w:rsid w:val="002131F9"/>
    <w:rsid w:val="00213213"/>
    <w:rsid w:val="00213993"/>
    <w:rsid w:val="00214007"/>
    <w:rsid w:val="0021413C"/>
    <w:rsid w:val="00215702"/>
    <w:rsid w:val="0021637F"/>
    <w:rsid w:val="00216767"/>
    <w:rsid w:val="00216FA1"/>
    <w:rsid w:val="00217303"/>
    <w:rsid w:val="00217E47"/>
    <w:rsid w:val="002201E9"/>
    <w:rsid w:val="002206CD"/>
    <w:rsid w:val="002216B4"/>
    <w:rsid w:val="00221A8E"/>
    <w:rsid w:val="00221CB9"/>
    <w:rsid w:val="00221F35"/>
    <w:rsid w:val="00222ECF"/>
    <w:rsid w:val="00223064"/>
    <w:rsid w:val="00223692"/>
    <w:rsid w:val="002237FE"/>
    <w:rsid w:val="00223A4E"/>
    <w:rsid w:val="00223A6C"/>
    <w:rsid w:val="002245BC"/>
    <w:rsid w:val="00224750"/>
    <w:rsid w:val="002254B4"/>
    <w:rsid w:val="00226634"/>
    <w:rsid w:val="00227D51"/>
    <w:rsid w:val="00227D8F"/>
    <w:rsid w:val="00230118"/>
    <w:rsid w:val="0023049A"/>
    <w:rsid w:val="002307D2"/>
    <w:rsid w:val="00230903"/>
    <w:rsid w:val="00230993"/>
    <w:rsid w:val="00230BE7"/>
    <w:rsid w:val="0023105E"/>
    <w:rsid w:val="00231B3F"/>
    <w:rsid w:val="002327BC"/>
    <w:rsid w:val="002331FE"/>
    <w:rsid w:val="00233558"/>
    <w:rsid w:val="00233E83"/>
    <w:rsid w:val="00234017"/>
    <w:rsid w:val="0023451D"/>
    <w:rsid w:val="00234A9C"/>
    <w:rsid w:val="00235151"/>
    <w:rsid w:val="002361EF"/>
    <w:rsid w:val="002368E0"/>
    <w:rsid w:val="002369F7"/>
    <w:rsid w:val="002370D0"/>
    <w:rsid w:val="00237605"/>
    <w:rsid w:val="00237C40"/>
    <w:rsid w:val="00237CE6"/>
    <w:rsid w:val="002405A5"/>
    <w:rsid w:val="002414CD"/>
    <w:rsid w:val="002417B0"/>
    <w:rsid w:val="00241CF8"/>
    <w:rsid w:val="002422BD"/>
    <w:rsid w:val="00242359"/>
    <w:rsid w:val="00243D5E"/>
    <w:rsid w:val="00244058"/>
    <w:rsid w:val="00244612"/>
    <w:rsid w:val="00244780"/>
    <w:rsid w:val="0024486F"/>
    <w:rsid w:val="00244B00"/>
    <w:rsid w:val="002456C9"/>
    <w:rsid w:val="002458CD"/>
    <w:rsid w:val="002459EF"/>
    <w:rsid w:val="00245B8C"/>
    <w:rsid w:val="00245E1D"/>
    <w:rsid w:val="00245EE0"/>
    <w:rsid w:val="0024692F"/>
    <w:rsid w:val="002476CE"/>
    <w:rsid w:val="002477B7"/>
    <w:rsid w:val="0024782F"/>
    <w:rsid w:val="00247B62"/>
    <w:rsid w:val="00247FAB"/>
    <w:rsid w:val="00250546"/>
    <w:rsid w:val="00250916"/>
    <w:rsid w:val="002509AC"/>
    <w:rsid w:val="00250FEB"/>
    <w:rsid w:val="00251091"/>
    <w:rsid w:val="00251F73"/>
    <w:rsid w:val="002528D8"/>
    <w:rsid w:val="00252D68"/>
    <w:rsid w:val="00252E2A"/>
    <w:rsid w:val="002532EC"/>
    <w:rsid w:val="002534C6"/>
    <w:rsid w:val="00253616"/>
    <w:rsid w:val="00253B42"/>
    <w:rsid w:val="00253EDC"/>
    <w:rsid w:val="00254E69"/>
    <w:rsid w:val="00254EA6"/>
    <w:rsid w:val="00254FB7"/>
    <w:rsid w:val="002557F8"/>
    <w:rsid w:val="00256029"/>
    <w:rsid w:val="00256260"/>
    <w:rsid w:val="00256F29"/>
    <w:rsid w:val="002573E6"/>
    <w:rsid w:val="002575A1"/>
    <w:rsid w:val="0025788D"/>
    <w:rsid w:val="00257E12"/>
    <w:rsid w:val="00260BF5"/>
    <w:rsid w:val="00261200"/>
    <w:rsid w:val="002612AB"/>
    <w:rsid w:val="0026166B"/>
    <w:rsid w:val="00261923"/>
    <w:rsid w:val="0026265B"/>
    <w:rsid w:val="00262DB2"/>
    <w:rsid w:val="00262E6D"/>
    <w:rsid w:val="00263185"/>
    <w:rsid w:val="00263702"/>
    <w:rsid w:val="00263781"/>
    <w:rsid w:val="002638F6"/>
    <w:rsid w:val="0026560B"/>
    <w:rsid w:val="00266186"/>
    <w:rsid w:val="00266AD0"/>
    <w:rsid w:val="002672FA"/>
    <w:rsid w:val="002673E6"/>
    <w:rsid w:val="002673FF"/>
    <w:rsid w:val="00267CA3"/>
    <w:rsid w:val="0027003F"/>
    <w:rsid w:val="00270D77"/>
    <w:rsid w:val="00270FC3"/>
    <w:rsid w:val="00271019"/>
    <w:rsid w:val="0027157E"/>
    <w:rsid w:val="002716A2"/>
    <w:rsid w:val="00271726"/>
    <w:rsid w:val="0027226C"/>
    <w:rsid w:val="00272650"/>
    <w:rsid w:val="002728BF"/>
    <w:rsid w:val="00272E6C"/>
    <w:rsid w:val="00272F23"/>
    <w:rsid w:val="002737F2"/>
    <w:rsid w:val="00273B3F"/>
    <w:rsid w:val="002747A5"/>
    <w:rsid w:val="0027539C"/>
    <w:rsid w:val="00275487"/>
    <w:rsid w:val="0027573C"/>
    <w:rsid w:val="002757A1"/>
    <w:rsid w:val="002760C0"/>
    <w:rsid w:val="0027626E"/>
    <w:rsid w:val="0027637B"/>
    <w:rsid w:val="0027692B"/>
    <w:rsid w:val="00277BDB"/>
    <w:rsid w:val="0028016B"/>
    <w:rsid w:val="00280632"/>
    <w:rsid w:val="00280AB2"/>
    <w:rsid w:val="002814BD"/>
    <w:rsid w:val="00281BF0"/>
    <w:rsid w:val="002823A3"/>
    <w:rsid w:val="00283187"/>
    <w:rsid w:val="00283224"/>
    <w:rsid w:val="00283FFC"/>
    <w:rsid w:val="00284ACD"/>
    <w:rsid w:val="00284BDA"/>
    <w:rsid w:val="00284DAF"/>
    <w:rsid w:val="00285AE6"/>
    <w:rsid w:val="00285D94"/>
    <w:rsid w:val="0028615E"/>
    <w:rsid w:val="0028646E"/>
    <w:rsid w:val="0028659E"/>
    <w:rsid w:val="002866CB"/>
    <w:rsid w:val="00286B8C"/>
    <w:rsid w:val="00287084"/>
    <w:rsid w:val="00287B13"/>
    <w:rsid w:val="00287E43"/>
    <w:rsid w:val="00287EE7"/>
    <w:rsid w:val="00290144"/>
    <w:rsid w:val="002903EF"/>
    <w:rsid w:val="00290539"/>
    <w:rsid w:val="0029143E"/>
    <w:rsid w:val="002915BC"/>
    <w:rsid w:val="002918BE"/>
    <w:rsid w:val="00291CBD"/>
    <w:rsid w:val="00291D9D"/>
    <w:rsid w:val="00291E9B"/>
    <w:rsid w:val="002921AD"/>
    <w:rsid w:val="00292388"/>
    <w:rsid w:val="00292817"/>
    <w:rsid w:val="00292E1A"/>
    <w:rsid w:val="002938A6"/>
    <w:rsid w:val="00293963"/>
    <w:rsid w:val="00293F58"/>
    <w:rsid w:val="0029407B"/>
    <w:rsid w:val="002943FD"/>
    <w:rsid w:val="00294460"/>
    <w:rsid w:val="002945CE"/>
    <w:rsid w:val="00294F8D"/>
    <w:rsid w:val="00295145"/>
    <w:rsid w:val="0029559E"/>
    <w:rsid w:val="00295964"/>
    <w:rsid w:val="00295FA8"/>
    <w:rsid w:val="00296175"/>
    <w:rsid w:val="002966F6"/>
    <w:rsid w:val="00296B34"/>
    <w:rsid w:val="00296B81"/>
    <w:rsid w:val="00297988"/>
    <w:rsid w:val="002A00B0"/>
    <w:rsid w:val="002A02A3"/>
    <w:rsid w:val="002A0546"/>
    <w:rsid w:val="002A0E85"/>
    <w:rsid w:val="002A18F2"/>
    <w:rsid w:val="002A1D61"/>
    <w:rsid w:val="002A21E1"/>
    <w:rsid w:val="002A2436"/>
    <w:rsid w:val="002A2A86"/>
    <w:rsid w:val="002A4250"/>
    <w:rsid w:val="002A4ED6"/>
    <w:rsid w:val="002A53FD"/>
    <w:rsid w:val="002A55D0"/>
    <w:rsid w:val="002A5A6D"/>
    <w:rsid w:val="002A60E4"/>
    <w:rsid w:val="002A6895"/>
    <w:rsid w:val="002A6B09"/>
    <w:rsid w:val="002B0156"/>
    <w:rsid w:val="002B0BF7"/>
    <w:rsid w:val="002B188F"/>
    <w:rsid w:val="002B2177"/>
    <w:rsid w:val="002B276D"/>
    <w:rsid w:val="002B2A16"/>
    <w:rsid w:val="002B2C5C"/>
    <w:rsid w:val="002B2F25"/>
    <w:rsid w:val="002B30A0"/>
    <w:rsid w:val="002B30D4"/>
    <w:rsid w:val="002B33A1"/>
    <w:rsid w:val="002B3657"/>
    <w:rsid w:val="002B3D0D"/>
    <w:rsid w:val="002B3F70"/>
    <w:rsid w:val="002B41AA"/>
    <w:rsid w:val="002B42EC"/>
    <w:rsid w:val="002B45DD"/>
    <w:rsid w:val="002B468A"/>
    <w:rsid w:val="002B46E8"/>
    <w:rsid w:val="002B483D"/>
    <w:rsid w:val="002B4C6E"/>
    <w:rsid w:val="002B568A"/>
    <w:rsid w:val="002B5792"/>
    <w:rsid w:val="002B5880"/>
    <w:rsid w:val="002B6635"/>
    <w:rsid w:val="002B6E01"/>
    <w:rsid w:val="002B72E1"/>
    <w:rsid w:val="002B7B13"/>
    <w:rsid w:val="002B7C5B"/>
    <w:rsid w:val="002B7D20"/>
    <w:rsid w:val="002C02F0"/>
    <w:rsid w:val="002C0C1D"/>
    <w:rsid w:val="002C0D91"/>
    <w:rsid w:val="002C0E79"/>
    <w:rsid w:val="002C1068"/>
    <w:rsid w:val="002C10C8"/>
    <w:rsid w:val="002C1D90"/>
    <w:rsid w:val="002C1DCD"/>
    <w:rsid w:val="002C2C3C"/>
    <w:rsid w:val="002C2EF3"/>
    <w:rsid w:val="002C33F3"/>
    <w:rsid w:val="002C3DAC"/>
    <w:rsid w:val="002C4499"/>
    <w:rsid w:val="002C4667"/>
    <w:rsid w:val="002C4E25"/>
    <w:rsid w:val="002C533D"/>
    <w:rsid w:val="002C548D"/>
    <w:rsid w:val="002C5DB4"/>
    <w:rsid w:val="002C5E58"/>
    <w:rsid w:val="002C5F65"/>
    <w:rsid w:val="002C6075"/>
    <w:rsid w:val="002C6AF6"/>
    <w:rsid w:val="002C7578"/>
    <w:rsid w:val="002C7FDF"/>
    <w:rsid w:val="002D0044"/>
    <w:rsid w:val="002D0526"/>
    <w:rsid w:val="002D0B0E"/>
    <w:rsid w:val="002D0E9B"/>
    <w:rsid w:val="002D1436"/>
    <w:rsid w:val="002D1C4E"/>
    <w:rsid w:val="002D271E"/>
    <w:rsid w:val="002D2A58"/>
    <w:rsid w:val="002D2F59"/>
    <w:rsid w:val="002D335F"/>
    <w:rsid w:val="002D3E4F"/>
    <w:rsid w:val="002D3EEC"/>
    <w:rsid w:val="002D40CE"/>
    <w:rsid w:val="002D45ED"/>
    <w:rsid w:val="002D4A83"/>
    <w:rsid w:val="002D5434"/>
    <w:rsid w:val="002D553E"/>
    <w:rsid w:val="002D57DB"/>
    <w:rsid w:val="002D5897"/>
    <w:rsid w:val="002D5B38"/>
    <w:rsid w:val="002D6DAE"/>
    <w:rsid w:val="002D7294"/>
    <w:rsid w:val="002D790B"/>
    <w:rsid w:val="002E0285"/>
    <w:rsid w:val="002E23B9"/>
    <w:rsid w:val="002E253C"/>
    <w:rsid w:val="002E2626"/>
    <w:rsid w:val="002E2ED1"/>
    <w:rsid w:val="002E3BBA"/>
    <w:rsid w:val="002E4215"/>
    <w:rsid w:val="002E455D"/>
    <w:rsid w:val="002E4DAB"/>
    <w:rsid w:val="002E5A2C"/>
    <w:rsid w:val="002E5CF1"/>
    <w:rsid w:val="002E66C5"/>
    <w:rsid w:val="002E6843"/>
    <w:rsid w:val="002E7396"/>
    <w:rsid w:val="002E74C1"/>
    <w:rsid w:val="002E7E36"/>
    <w:rsid w:val="002F04EC"/>
    <w:rsid w:val="002F095E"/>
    <w:rsid w:val="002F118E"/>
    <w:rsid w:val="002F151C"/>
    <w:rsid w:val="002F15EA"/>
    <w:rsid w:val="002F1F6E"/>
    <w:rsid w:val="002F2007"/>
    <w:rsid w:val="002F279C"/>
    <w:rsid w:val="002F3005"/>
    <w:rsid w:val="002F3292"/>
    <w:rsid w:val="002F3DCC"/>
    <w:rsid w:val="002F3E19"/>
    <w:rsid w:val="002F419D"/>
    <w:rsid w:val="002F5382"/>
    <w:rsid w:val="002F54DD"/>
    <w:rsid w:val="002F5C3E"/>
    <w:rsid w:val="002F64B4"/>
    <w:rsid w:val="002F6D0D"/>
    <w:rsid w:val="002F7777"/>
    <w:rsid w:val="002F77DE"/>
    <w:rsid w:val="002F78A2"/>
    <w:rsid w:val="0030018C"/>
    <w:rsid w:val="00300822"/>
    <w:rsid w:val="00300869"/>
    <w:rsid w:val="00300B70"/>
    <w:rsid w:val="00300E40"/>
    <w:rsid w:val="00301BDF"/>
    <w:rsid w:val="0030249C"/>
    <w:rsid w:val="003027E1"/>
    <w:rsid w:val="003028C5"/>
    <w:rsid w:val="00302ED0"/>
    <w:rsid w:val="00302FF3"/>
    <w:rsid w:val="00303725"/>
    <w:rsid w:val="003038FE"/>
    <w:rsid w:val="00303AB1"/>
    <w:rsid w:val="00303C19"/>
    <w:rsid w:val="003040E5"/>
    <w:rsid w:val="00304B83"/>
    <w:rsid w:val="00304F61"/>
    <w:rsid w:val="003055C1"/>
    <w:rsid w:val="0030560F"/>
    <w:rsid w:val="003058A3"/>
    <w:rsid w:val="00305991"/>
    <w:rsid w:val="00305D3C"/>
    <w:rsid w:val="0030656D"/>
    <w:rsid w:val="00306773"/>
    <w:rsid w:val="00306B8B"/>
    <w:rsid w:val="003071A8"/>
    <w:rsid w:val="00307480"/>
    <w:rsid w:val="003077B7"/>
    <w:rsid w:val="00307ACD"/>
    <w:rsid w:val="0031043E"/>
    <w:rsid w:val="00312EC7"/>
    <w:rsid w:val="00313204"/>
    <w:rsid w:val="00313803"/>
    <w:rsid w:val="00313D16"/>
    <w:rsid w:val="003142ED"/>
    <w:rsid w:val="0031446B"/>
    <w:rsid w:val="00314A36"/>
    <w:rsid w:val="00314B8A"/>
    <w:rsid w:val="0031588E"/>
    <w:rsid w:val="00315A3B"/>
    <w:rsid w:val="00315DB7"/>
    <w:rsid w:val="00315DD5"/>
    <w:rsid w:val="00315E83"/>
    <w:rsid w:val="003162BF"/>
    <w:rsid w:val="0031697C"/>
    <w:rsid w:val="00316F60"/>
    <w:rsid w:val="003170AD"/>
    <w:rsid w:val="00317121"/>
    <w:rsid w:val="003172DE"/>
    <w:rsid w:val="00317346"/>
    <w:rsid w:val="003173BD"/>
    <w:rsid w:val="003179BE"/>
    <w:rsid w:val="00317C5B"/>
    <w:rsid w:val="00320640"/>
    <w:rsid w:val="00320811"/>
    <w:rsid w:val="00320A17"/>
    <w:rsid w:val="00320A33"/>
    <w:rsid w:val="00320EC5"/>
    <w:rsid w:val="0032169C"/>
    <w:rsid w:val="0032176F"/>
    <w:rsid w:val="00321F23"/>
    <w:rsid w:val="003221F8"/>
    <w:rsid w:val="003224CB"/>
    <w:rsid w:val="00322750"/>
    <w:rsid w:val="0032281B"/>
    <w:rsid w:val="00323350"/>
    <w:rsid w:val="00323C45"/>
    <w:rsid w:val="0032443C"/>
    <w:rsid w:val="00324580"/>
    <w:rsid w:val="003248CB"/>
    <w:rsid w:val="003250DB"/>
    <w:rsid w:val="0032568E"/>
    <w:rsid w:val="003259C4"/>
    <w:rsid w:val="00325CD9"/>
    <w:rsid w:val="0032601C"/>
    <w:rsid w:val="0032625D"/>
    <w:rsid w:val="003262B5"/>
    <w:rsid w:val="003262FC"/>
    <w:rsid w:val="00326D9D"/>
    <w:rsid w:val="00326F53"/>
    <w:rsid w:val="003274AF"/>
    <w:rsid w:val="00327742"/>
    <w:rsid w:val="00327750"/>
    <w:rsid w:val="003278A9"/>
    <w:rsid w:val="00327B3B"/>
    <w:rsid w:val="00327FE0"/>
    <w:rsid w:val="00330619"/>
    <w:rsid w:val="00330AED"/>
    <w:rsid w:val="00330CE3"/>
    <w:rsid w:val="0033157E"/>
    <w:rsid w:val="00331709"/>
    <w:rsid w:val="00331717"/>
    <w:rsid w:val="00331849"/>
    <w:rsid w:val="00331961"/>
    <w:rsid w:val="003319D2"/>
    <w:rsid w:val="00331D54"/>
    <w:rsid w:val="0033234E"/>
    <w:rsid w:val="00333018"/>
    <w:rsid w:val="0033357A"/>
    <w:rsid w:val="00333938"/>
    <w:rsid w:val="003343D2"/>
    <w:rsid w:val="00334507"/>
    <w:rsid w:val="00334D52"/>
    <w:rsid w:val="003350CB"/>
    <w:rsid w:val="0033524D"/>
    <w:rsid w:val="0033599A"/>
    <w:rsid w:val="00335AE5"/>
    <w:rsid w:val="00335EC6"/>
    <w:rsid w:val="0033640C"/>
    <w:rsid w:val="003373DD"/>
    <w:rsid w:val="00337561"/>
    <w:rsid w:val="0033767F"/>
    <w:rsid w:val="003379C7"/>
    <w:rsid w:val="0034092E"/>
    <w:rsid w:val="00341278"/>
    <w:rsid w:val="0034147A"/>
    <w:rsid w:val="003415E8"/>
    <w:rsid w:val="0034166B"/>
    <w:rsid w:val="00341844"/>
    <w:rsid w:val="00341950"/>
    <w:rsid w:val="00341997"/>
    <w:rsid w:val="00342A77"/>
    <w:rsid w:val="00342AA3"/>
    <w:rsid w:val="00342B59"/>
    <w:rsid w:val="0034309D"/>
    <w:rsid w:val="003439BD"/>
    <w:rsid w:val="00343DA3"/>
    <w:rsid w:val="0034409E"/>
    <w:rsid w:val="00344A3F"/>
    <w:rsid w:val="00345462"/>
    <w:rsid w:val="00345F77"/>
    <w:rsid w:val="00346926"/>
    <w:rsid w:val="00346AA8"/>
    <w:rsid w:val="00346B5D"/>
    <w:rsid w:val="00346CD4"/>
    <w:rsid w:val="003470C1"/>
    <w:rsid w:val="00347237"/>
    <w:rsid w:val="0034748D"/>
    <w:rsid w:val="003476FF"/>
    <w:rsid w:val="0034784D"/>
    <w:rsid w:val="003479C0"/>
    <w:rsid w:val="00347B35"/>
    <w:rsid w:val="00350B18"/>
    <w:rsid w:val="00350DA5"/>
    <w:rsid w:val="00351B9F"/>
    <w:rsid w:val="0035242E"/>
    <w:rsid w:val="00352A92"/>
    <w:rsid w:val="0035347C"/>
    <w:rsid w:val="00353A60"/>
    <w:rsid w:val="0035449D"/>
    <w:rsid w:val="00354FED"/>
    <w:rsid w:val="00355018"/>
    <w:rsid w:val="003550BC"/>
    <w:rsid w:val="003558E9"/>
    <w:rsid w:val="00355911"/>
    <w:rsid w:val="00355A6A"/>
    <w:rsid w:val="00355B09"/>
    <w:rsid w:val="00355B0F"/>
    <w:rsid w:val="00356350"/>
    <w:rsid w:val="00356EA8"/>
    <w:rsid w:val="0035792F"/>
    <w:rsid w:val="003601BE"/>
    <w:rsid w:val="00360334"/>
    <w:rsid w:val="00360472"/>
    <w:rsid w:val="0036084E"/>
    <w:rsid w:val="00362A65"/>
    <w:rsid w:val="00363370"/>
    <w:rsid w:val="00364117"/>
    <w:rsid w:val="003642B0"/>
    <w:rsid w:val="0036473E"/>
    <w:rsid w:val="003647D4"/>
    <w:rsid w:val="00364CD2"/>
    <w:rsid w:val="00364F51"/>
    <w:rsid w:val="003669D0"/>
    <w:rsid w:val="00367478"/>
    <w:rsid w:val="00367A0C"/>
    <w:rsid w:val="00367CA5"/>
    <w:rsid w:val="00367F5F"/>
    <w:rsid w:val="0037046A"/>
    <w:rsid w:val="00370718"/>
    <w:rsid w:val="00370BF6"/>
    <w:rsid w:val="00370C77"/>
    <w:rsid w:val="003718B9"/>
    <w:rsid w:val="003720F6"/>
    <w:rsid w:val="003721BD"/>
    <w:rsid w:val="003721E4"/>
    <w:rsid w:val="00373D47"/>
    <w:rsid w:val="003743FB"/>
    <w:rsid w:val="0037440E"/>
    <w:rsid w:val="0037449E"/>
    <w:rsid w:val="003748D1"/>
    <w:rsid w:val="00374C08"/>
    <w:rsid w:val="00374CB8"/>
    <w:rsid w:val="00374D94"/>
    <w:rsid w:val="00375317"/>
    <w:rsid w:val="00375BAC"/>
    <w:rsid w:val="00375F94"/>
    <w:rsid w:val="00376717"/>
    <w:rsid w:val="003768F5"/>
    <w:rsid w:val="00376D5D"/>
    <w:rsid w:val="00377612"/>
    <w:rsid w:val="00377ABB"/>
    <w:rsid w:val="00377B6D"/>
    <w:rsid w:val="00377CF9"/>
    <w:rsid w:val="00380297"/>
    <w:rsid w:val="0038098C"/>
    <w:rsid w:val="00381715"/>
    <w:rsid w:val="00381804"/>
    <w:rsid w:val="003819A7"/>
    <w:rsid w:val="003821FD"/>
    <w:rsid w:val="003824E6"/>
    <w:rsid w:val="00382686"/>
    <w:rsid w:val="003828AB"/>
    <w:rsid w:val="00382A79"/>
    <w:rsid w:val="003831B9"/>
    <w:rsid w:val="0038325E"/>
    <w:rsid w:val="00383388"/>
    <w:rsid w:val="00383614"/>
    <w:rsid w:val="00383864"/>
    <w:rsid w:val="00383951"/>
    <w:rsid w:val="00384888"/>
    <w:rsid w:val="00384A47"/>
    <w:rsid w:val="00384D46"/>
    <w:rsid w:val="00385360"/>
    <w:rsid w:val="003859A2"/>
    <w:rsid w:val="00385EAF"/>
    <w:rsid w:val="00387103"/>
    <w:rsid w:val="003871D3"/>
    <w:rsid w:val="003872C5"/>
    <w:rsid w:val="003874D4"/>
    <w:rsid w:val="003875DE"/>
    <w:rsid w:val="003904ED"/>
    <w:rsid w:val="003908A7"/>
    <w:rsid w:val="00391040"/>
    <w:rsid w:val="003915B1"/>
    <w:rsid w:val="0039252F"/>
    <w:rsid w:val="003926B5"/>
    <w:rsid w:val="003927A8"/>
    <w:rsid w:val="00392BF2"/>
    <w:rsid w:val="00392C87"/>
    <w:rsid w:val="003942F6"/>
    <w:rsid w:val="00394D00"/>
    <w:rsid w:val="0039585A"/>
    <w:rsid w:val="00395CB3"/>
    <w:rsid w:val="00395D49"/>
    <w:rsid w:val="00395D97"/>
    <w:rsid w:val="0039607B"/>
    <w:rsid w:val="00396978"/>
    <w:rsid w:val="00396CDA"/>
    <w:rsid w:val="003A00F8"/>
    <w:rsid w:val="003A0A87"/>
    <w:rsid w:val="003A0D2B"/>
    <w:rsid w:val="003A0E90"/>
    <w:rsid w:val="003A0F65"/>
    <w:rsid w:val="003A139B"/>
    <w:rsid w:val="003A1862"/>
    <w:rsid w:val="003A18C9"/>
    <w:rsid w:val="003A192E"/>
    <w:rsid w:val="003A1DEB"/>
    <w:rsid w:val="003A2ACD"/>
    <w:rsid w:val="003A356C"/>
    <w:rsid w:val="003A3EB0"/>
    <w:rsid w:val="003A4752"/>
    <w:rsid w:val="003A4F2E"/>
    <w:rsid w:val="003A55A4"/>
    <w:rsid w:val="003A567A"/>
    <w:rsid w:val="003A58E8"/>
    <w:rsid w:val="003A6215"/>
    <w:rsid w:val="003A6938"/>
    <w:rsid w:val="003A6964"/>
    <w:rsid w:val="003A7CBF"/>
    <w:rsid w:val="003A7DA5"/>
    <w:rsid w:val="003B1098"/>
    <w:rsid w:val="003B17AB"/>
    <w:rsid w:val="003B1CB2"/>
    <w:rsid w:val="003B2081"/>
    <w:rsid w:val="003B2557"/>
    <w:rsid w:val="003B2F19"/>
    <w:rsid w:val="003B3320"/>
    <w:rsid w:val="003B38F5"/>
    <w:rsid w:val="003B3BC1"/>
    <w:rsid w:val="003B44AE"/>
    <w:rsid w:val="003B450E"/>
    <w:rsid w:val="003B481E"/>
    <w:rsid w:val="003B48B3"/>
    <w:rsid w:val="003B52D9"/>
    <w:rsid w:val="003B553B"/>
    <w:rsid w:val="003B5B6F"/>
    <w:rsid w:val="003B5C58"/>
    <w:rsid w:val="003B5CEC"/>
    <w:rsid w:val="003B61F0"/>
    <w:rsid w:val="003B6652"/>
    <w:rsid w:val="003B6C8C"/>
    <w:rsid w:val="003B7A92"/>
    <w:rsid w:val="003B7F4B"/>
    <w:rsid w:val="003B7F59"/>
    <w:rsid w:val="003C06CF"/>
    <w:rsid w:val="003C121D"/>
    <w:rsid w:val="003C13E1"/>
    <w:rsid w:val="003C1AAF"/>
    <w:rsid w:val="003C1EE1"/>
    <w:rsid w:val="003C2280"/>
    <w:rsid w:val="003C28C2"/>
    <w:rsid w:val="003C2A37"/>
    <w:rsid w:val="003C2AB9"/>
    <w:rsid w:val="003C2BA4"/>
    <w:rsid w:val="003C3428"/>
    <w:rsid w:val="003C3509"/>
    <w:rsid w:val="003C411D"/>
    <w:rsid w:val="003C44D2"/>
    <w:rsid w:val="003C48F9"/>
    <w:rsid w:val="003C4BD6"/>
    <w:rsid w:val="003C4C5C"/>
    <w:rsid w:val="003C6127"/>
    <w:rsid w:val="003C6BF2"/>
    <w:rsid w:val="003C6FE2"/>
    <w:rsid w:val="003C7EB7"/>
    <w:rsid w:val="003D0040"/>
    <w:rsid w:val="003D022B"/>
    <w:rsid w:val="003D03D5"/>
    <w:rsid w:val="003D03F6"/>
    <w:rsid w:val="003D0A2A"/>
    <w:rsid w:val="003D0C28"/>
    <w:rsid w:val="003D1142"/>
    <w:rsid w:val="003D12CE"/>
    <w:rsid w:val="003D1859"/>
    <w:rsid w:val="003D1A64"/>
    <w:rsid w:val="003D2B55"/>
    <w:rsid w:val="003D2B94"/>
    <w:rsid w:val="003D2BB8"/>
    <w:rsid w:val="003D2E45"/>
    <w:rsid w:val="003D2F8F"/>
    <w:rsid w:val="003D33B7"/>
    <w:rsid w:val="003D4937"/>
    <w:rsid w:val="003D4C1A"/>
    <w:rsid w:val="003D5CF2"/>
    <w:rsid w:val="003D5E54"/>
    <w:rsid w:val="003D6B79"/>
    <w:rsid w:val="003D6BAB"/>
    <w:rsid w:val="003D7000"/>
    <w:rsid w:val="003D7889"/>
    <w:rsid w:val="003E036E"/>
    <w:rsid w:val="003E0478"/>
    <w:rsid w:val="003E0507"/>
    <w:rsid w:val="003E0B12"/>
    <w:rsid w:val="003E0D3E"/>
    <w:rsid w:val="003E1632"/>
    <w:rsid w:val="003E1DC1"/>
    <w:rsid w:val="003E248B"/>
    <w:rsid w:val="003E2550"/>
    <w:rsid w:val="003E2B12"/>
    <w:rsid w:val="003E3054"/>
    <w:rsid w:val="003E3C6F"/>
    <w:rsid w:val="003E40A4"/>
    <w:rsid w:val="003E441D"/>
    <w:rsid w:val="003E47E3"/>
    <w:rsid w:val="003E48B6"/>
    <w:rsid w:val="003E4A6E"/>
    <w:rsid w:val="003E56AF"/>
    <w:rsid w:val="003E5EF6"/>
    <w:rsid w:val="003E6037"/>
    <w:rsid w:val="003E615C"/>
    <w:rsid w:val="003E624E"/>
    <w:rsid w:val="003E6601"/>
    <w:rsid w:val="003E6727"/>
    <w:rsid w:val="003E6C2F"/>
    <w:rsid w:val="003E6DB9"/>
    <w:rsid w:val="003E6EA3"/>
    <w:rsid w:val="003E6EAE"/>
    <w:rsid w:val="003E71BC"/>
    <w:rsid w:val="003E71FB"/>
    <w:rsid w:val="003E7951"/>
    <w:rsid w:val="003F0291"/>
    <w:rsid w:val="003F0746"/>
    <w:rsid w:val="003F087E"/>
    <w:rsid w:val="003F0D92"/>
    <w:rsid w:val="003F15FE"/>
    <w:rsid w:val="003F1A0B"/>
    <w:rsid w:val="003F2098"/>
    <w:rsid w:val="003F28D5"/>
    <w:rsid w:val="003F2E11"/>
    <w:rsid w:val="003F31C4"/>
    <w:rsid w:val="003F35C7"/>
    <w:rsid w:val="003F3A79"/>
    <w:rsid w:val="003F3AD6"/>
    <w:rsid w:val="003F52A2"/>
    <w:rsid w:val="003F56A2"/>
    <w:rsid w:val="003F56DA"/>
    <w:rsid w:val="003F59A3"/>
    <w:rsid w:val="003F6128"/>
    <w:rsid w:val="003F6145"/>
    <w:rsid w:val="003F68F1"/>
    <w:rsid w:val="003F6F65"/>
    <w:rsid w:val="003F75F6"/>
    <w:rsid w:val="003F7B28"/>
    <w:rsid w:val="00400041"/>
    <w:rsid w:val="00400BD3"/>
    <w:rsid w:val="004018B0"/>
    <w:rsid w:val="00402334"/>
    <w:rsid w:val="004027CD"/>
    <w:rsid w:val="00402847"/>
    <w:rsid w:val="004029C7"/>
    <w:rsid w:val="00402A55"/>
    <w:rsid w:val="00403339"/>
    <w:rsid w:val="004035F0"/>
    <w:rsid w:val="00403618"/>
    <w:rsid w:val="00403FA2"/>
    <w:rsid w:val="00404425"/>
    <w:rsid w:val="00405929"/>
    <w:rsid w:val="00405ECC"/>
    <w:rsid w:val="00406980"/>
    <w:rsid w:val="00406DEA"/>
    <w:rsid w:val="00407429"/>
    <w:rsid w:val="0040743A"/>
    <w:rsid w:val="0040747D"/>
    <w:rsid w:val="00407D9D"/>
    <w:rsid w:val="00407F02"/>
    <w:rsid w:val="0041032D"/>
    <w:rsid w:val="00410610"/>
    <w:rsid w:val="00410CE0"/>
    <w:rsid w:val="00411F7E"/>
    <w:rsid w:val="004124C6"/>
    <w:rsid w:val="00412785"/>
    <w:rsid w:val="00412CFA"/>
    <w:rsid w:val="00412EC3"/>
    <w:rsid w:val="004137EB"/>
    <w:rsid w:val="00413B51"/>
    <w:rsid w:val="00414ECC"/>
    <w:rsid w:val="00414F77"/>
    <w:rsid w:val="00415214"/>
    <w:rsid w:val="00415801"/>
    <w:rsid w:val="00415B26"/>
    <w:rsid w:val="0041618E"/>
    <w:rsid w:val="004164DF"/>
    <w:rsid w:val="0041667B"/>
    <w:rsid w:val="00416D8E"/>
    <w:rsid w:val="00416EED"/>
    <w:rsid w:val="004206BE"/>
    <w:rsid w:val="004208D2"/>
    <w:rsid w:val="0042111F"/>
    <w:rsid w:val="0042252A"/>
    <w:rsid w:val="00422C27"/>
    <w:rsid w:val="00422EA5"/>
    <w:rsid w:val="004233EA"/>
    <w:rsid w:val="0042391A"/>
    <w:rsid w:val="00423B82"/>
    <w:rsid w:val="00424B26"/>
    <w:rsid w:val="00424CC0"/>
    <w:rsid w:val="00424F9F"/>
    <w:rsid w:val="00425310"/>
    <w:rsid w:val="00425FB0"/>
    <w:rsid w:val="00426312"/>
    <w:rsid w:val="004268A7"/>
    <w:rsid w:val="00426A36"/>
    <w:rsid w:val="00426E1C"/>
    <w:rsid w:val="00426E7A"/>
    <w:rsid w:val="0042705C"/>
    <w:rsid w:val="004271F9"/>
    <w:rsid w:val="00427334"/>
    <w:rsid w:val="00430FF3"/>
    <w:rsid w:val="00431495"/>
    <w:rsid w:val="004317CF"/>
    <w:rsid w:val="00431DA0"/>
    <w:rsid w:val="004321E6"/>
    <w:rsid w:val="004326A5"/>
    <w:rsid w:val="004327C7"/>
    <w:rsid w:val="00432AF2"/>
    <w:rsid w:val="00432DFF"/>
    <w:rsid w:val="0043318D"/>
    <w:rsid w:val="004334F1"/>
    <w:rsid w:val="00433541"/>
    <w:rsid w:val="00433D46"/>
    <w:rsid w:val="00433D8B"/>
    <w:rsid w:val="00434877"/>
    <w:rsid w:val="0043548E"/>
    <w:rsid w:val="004359FF"/>
    <w:rsid w:val="00436630"/>
    <w:rsid w:val="00436B2E"/>
    <w:rsid w:val="00437217"/>
    <w:rsid w:val="0043729E"/>
    <w:rsid w:val="004372D5"/>
    <w:rsid w:val="00437417"/>
    <w:rsid w:val="00437E09"/>
    <w:rsid w:val="004405D4"/>
    <w:rsid w:val="00440CA6"/>
    <w:rsid w:val="004410AB"/>
    <w:rsid w:val="00441192"/>
    <w:rsid w:val="004416F1"/>
    <w:rsid w:val="00441DAE"/>
    <w:rsid w:val="0044207E"/>
    <w:rsid w:val="0044226F"/>
    <w:rsid w:val="00442BA2"/>
    <w:rsid w:val="00442E8C"/>
    <w:rsid w:val="00442FC1"/>
    <w:rsid w:val="00442FE8"/>
    <w:rsid w:val="00443604"/>
    <w:rsid w:val="004436AE"/>
    <w:rsid w:val="004436E4"/>
    <w:rsid w:val="00443777"/>
    <w:rsid w:val="00443B90"/>
    <w:rsid w:val="00443F91"/>
    <w:rsid w:val="004441A8"/>
    <w:rsid w:val="004445EB"/>
    <w:rsid w:val="00444855"/>
    <w:rsid w:val="00444C92"/>
    <w:rsid w:val="00444FC9"/>
    <w:rsid w:val="0044526D"/>
    <w:rsid w:val="004453A8"/>
    <w:rsid w:val="004453C8"/>
    <w:rsid w:val="00445A1A"/>
    <w:rsid w:val="00445B70"/>
    <w:rsid w:val="00446020"/>
    <w:rsid w:val="00446307"/>
    <w:rsid w:val="0044707A"/>
    <w:rsid w:val="004471D1"/>
    <w:rsid w:val="00447394"/>
    <w:rsid w:val="00450079"/>
    <w:rsid w:val="00450CA4"/>
    <w:rsid w:val="004512BA"/>
    <w:rsid w:val="0045205B"/>
    <w:rsid w:val="00452125"/>
    <w:rsid w:val="00452EA1"/>
    <w:rsid w:val="00452EDA"/>
    <w:rsid w:val="004535A6"/>
    <w:rsid w:val="004538F7"/>
    <w:rsid w:val="004539F0"/>
    <w:rsid w:val="004541F9"/>
    <w:rsid w:val="00454FF2"/>
    <w:rsid w:val="00455FD3"/>
    <w:rsid w:val="00456563"/>
    <w:rsid w:val="00456D19"/>
    <w:rsid w:val="00457576"/>
    <w:rsid w:val="00457A7B"/>
    <w:rsid w:val="00457BB7"/>
    <w:rsid w:val="004602F7"/>
    <w:rsid w:val="004605E0"/>
    <w:rsid w:val="004611E8"/>
    <w:rsid w:val="00461376"/>
    <w:rsid w:val="00461DBE"/>
    <w:rsid w:val="00461DF7"/>
    <w:rsid w:val="004628CD"/>
    <w:rsid w:val="00463451"/>
    <w:rsid w:val="00463968"/>
    <w:rsid w:val="0046398F"/>
    <w:rsid w:val="00463B34"/>
    <w:rsid w:val="00463CBD"/>
    <w:rsid w:val="0046420D"/>
    <w:rsid w:val="0046422E"/>
    <w:rsid w:val="0046452A"/>
    <w:rsid w:val="004648E1"/>
    <w:rsid w:val="00464B0E"/>
    <w:rsid w:val="00464FFD"/>
    <w:rsid w:val="004662D1"/>
    <w:rsid w:val="00466878"/>
    <w:rsid w:val="00466E35"/>
    <w:rsid w:val="00467070"/>
    <w:rsid w:val="0046713A"/>
    <w:rsid w:val="0046754C"/>
    <w:rsid w:val="00467E40"/>
    <w:rsid w:val="00467E88"/>
    <w:rsid w:val="00470B2E"/>
    <w:rsid w:val="00471946"/>
    <w:rsid w:val="00471DC8"/>
    <w:rsid w:val="0047231F"/>
    <w:rsid w:val="00472390"/>
    <w:rsid w:val="00472603"/>
    <w:rsid w:val="004727BE"/>
    <w:rsid w:val="00473C01"/>
    <w:rsid w:val="00474B95"/>
    <w:rsid w:val="00474C8D"/>
    <w:rsid w:val="00475364"/>
    <w:rsid w:val="0047637B"/>
    <w:rsid w:val="004764CC"/>
    <w:rsid w:val="00476AEB"/>
    <w:rsid w:val="004772F3"/>
    <w:rsid w:val="004778B0"/>
    <w:rsid w:val="00477B29"/>
    <w:rsid w:val="00477D87"/>
    <w:rsid w:val="004804A8"/>
    <w:rsid w:val="004817CC"/>
    <w:rsid w:val="00481FDE"/>
    <w:rsid w:val="00482440"/>
    <w:rsid w:val="004825DD"/>
    <w:rsid w:val="00482E02"/>
    <w:rsid w:val="00482E86"/>
    <w:rsid w:val="004830E6"/>
    <w:rsid w:val="0048312A"/>
    <w:rsid w:val="004839AA"/>
    <w:rsid w:val="00483A0B"/>
    <w:rsid w:val="004841C9"/>
    <w:rsid w:val="0048453C"/>
    <w:rsid w:val="00484A9F"/>
    <w:rsid w:val="00484D50"/>
    <w:rsid w:val="00485415"/>
    <w:rsid w:val="004855C6"/>
    <w:rsid w:val="00486A8A"/>
    <w:rsid w:val="00487932"/>
    <w:rsid w:val="00487C37"/>
    <w:rsid w:val="00487E44"/>
    <w:rsid w:val="00490243"/>
    <w:rsid w:val="00490302"/>
    <w:rsid w:val="0049042A"/>
    <w:rsid w:val="0049044E"/>
    <w:rsid w:val="00491653"/>
    <w:rsid w:val="00491AC1"/>
    <w:rsid w:val="00491D73"/>
    <w:rsid w:val="00492240"/>
    <w:rsid w:val="0049251D"/>
    <w:rsid w:val="00492C6C"/>
    <w:rsid w:val="0049300B"/>
    <w:rsid w:val="004935CE"/>
    <w:rsid w:val="00493E8E"/>
    <w:rsid w:val="00494BCD"/>
    <w:rsid w:val="00495C23"/>
    <w:rsid w:val="004961C6"/>
    <w:rsid w:val="00496533"/>
    <w:rsid w:val="00496B05"/>
    <w:rsid w:val="00497465"/>
    <w:rsid w:val="004977D8"/>
    <w:rsid w:val="004A084B"/>
    <w:rsid w:val="004A1070"/>
    <w:rsid w:val="004A1174"/>
    <w:rsid w:val="004A1205"/>
    <w:rsid w:val="004A1433"/>
    <w:rsid w:val="004A196D"/>
    <w:rsid w:val="004A19A3"/>
    <w:rsid w:val="004A24BB"/>
    <w:rsid w:val="004A29A0"/>
    <w:rsid w:val="004A29FB"/>
    <w:rsid w:val="004A2A9D"/>
    <w:rsid w:val="004A344B"/>
    <w:rsid w:val="004A356A"/>
    <w:rsid w:val="004A4416"/>
    <w:rsid w:val="004A4471"/>
    <w:rsid w:val="004A4B11"/>
    <w:rsid w:val="004A4C8F"/>
    <w:rsid w:val="004A52F3"/>
    <w:rsid w:val="004A56F7"/>
    <w:rsid w:val="004A6304"/>
    <w:rsid w:val="004A6498"/>
    <w:rsid w:val="004A6A22"/>
    <w:rsid w:val="004A6D0C"/>
    <w:rsid w:val="004A7571"/>
    <w:rsid w:val="004A7641"/>
    <w:rsid w:val="004A7B4D"/>
    <w:rsid w:val="004A7D7F"/>
    <w:rsid w:val="004A7F80"/>
    <w:rsid w:val="004B01F1"/>
    <w:rsid w:val="004B06A1"/>
    <w:rsid w:val="004B105A"/>
    <w:rsid w:val="004B10D1"/>
    <w:rsid w:val="004B2076"/>
    <w:rsid w:val="004B2132"/>
    <w:rsid w:val="004B22FE"/>
    <w:rsid w:val="004B30A4"/>
    <w:rsid w:val="004B347B"/>
    <w:rsid w:val="004B34F2"/>
    <w:rsid w:val="004B389F"/>
    <w:rsid w:val="004B3CF0"/>
    <w:rsid w:val="004B488D"/>
    <w:rsid w:val="004B518D"/>
    <w:rsid w:val="004B5793"/>
    <w:rsid w:val="004B5A10"/>
    <w:rsid w:val="004B5A1A"/>
    <w:rsid w:val="004B5FE6"/>
    <w:rsid w:val="004B62AE"/>
    <w:rsid w:val="004B6D49"/>
    <w:rsid w:val="004B7AA4"/>
    <w:rsid w:val="004C0023"/>
    <w:rsid w:val="004C0737"/>
    <w:rsid w:val="004C0D7A"/>
    <w:rsid w:val="004C16F6"/>
    <w:rsid w:val="004C1790"/>
    <w:rsid w:val="004C1907"/>
    <w:rsid w:val="004C201F"/>
    <w:rsid w:val="004C2047"/>
    <w:rsid w:val="004C231F"/>
    <w:rsid w:val="004C2F4F"/>
    <w:rsid w:val="004C2FF9"/>
    <w:rsid w:val="004C3273"/>
    <w:rsid w:val="004C3BC6"/>
    <w:rsid w:val="004C3E31"/>
    <w:rsid w:val="004C495D"/>
    <w:rsid w:val="004C51BE"/>
    <w:rsid w:val="004C5DFD"/>
    <w:rsid w:val="004C5F4E"/>
    <w:rsid w:val="004C6A03"/>
    <w:rsid w:val="004C7184"/>
    <w:rsid w:val="004C7962"/>
    <w:rsid w:val="004D01BE"/>
    <w:rsid w:val="004D025E"/>
    <w:rsid w:val="004D03E6"/>
    <w:rsid w:val="004D07D7"/>
    <w:rsid w:val="004D10F8"/>
    <w:rsid w:val="004D154F"/>
    <w:rsid w:val="004D1F42"/>
    <w:rsid w:val="004D1F6F"/>
    <w:rsid w:val="004D205A"/>
    <w:rsid w:val="004D257E"/>
    <w:rsid w:val="004D2E87"/>
    <w:rsid w:val="004D32FD"/>
    <w:rsid w:val="004D3C71"/>
    <w:rsid w:val="004D3DDA"/>
    <w:rsid w:val="004D3E56"/>
    <w:rsid w:val="004D3E99"/>
    <w:rsid w:val="004D4F5C"/>
    <w:rsid w:val="004D5021"/>
    <w:rsid w:val="004D59CF"/>
    <w:rsid w:val="004D5CB2"/>
    <w:rsid w:val="004D61AC"/>
    <w:rsid w:val="004D67FA"/>
    <w:rsid w:val="004D70E3"/>
    <w:rsid w:val="004D7673"/>
    <w:rsid w:val="004D7B0C"/>
    <w:rsid w:val="004E069B"/>
    <w:rsid w:val="004E0CA5"/>
    <w:rsid w:val="004E0FDF"/>
    <w:rsid w:val="004E1033"/>
    <w:rsid w:val="004E1365"/>
    <w:rsid w:val="004E16E1"/>
    <w:rsid w:val="004E1A04"/>
    <w:rsid w:val="004E1D35"/>
    <w:rsid w:val="004E22EF"/>
    <w:rsid w:val="004E259A"/>
    <w:rsid w:val="004E2AB7"/>
    <w:rsid w:val="004E35D3"/>
    <w:rsid w:val="004E37BD"/>
    <w:rsid w:val="004E3CE2"/>
    <w:rsid w:val="004E43FF"/>
    <w:rsid w:val="004E45BF"/>
    <w:rsid w:val="004E4D1A"/>
    <w:rsid w:val="004E59E0"/>
    <w:rsid w:val="004E5C39"/>
    <w:rsid w:val="004E5E9E"/>
    <w:rsid w:val="004E69E8"/>
    <w:rsid w:val="004E77C3"/>
    <w:rsid w:val="004E797C"/>
    <w:rsid w:val="004E7B50"/>
    <w:rsid w:val="004F0087"/>
    <w:rsid w:val="004F0145"/>
    <w:rsid w:val="004F0A69"/>
    <w:rsid w:val="004F0C88"/>
    <w:rsid w:val="004F0F57"/>
    <w:rsid w:val="004F2233"/>
    <w:rsid w:val="004F22DF"/>
    <w:rsid w:val="004F2630"/>
    <w:rsid w:val="004F28CD"/>
    <w:rsid w:val="004F28E0"/>
    <w:rsid w:val="004F2B4D"/>
    <w:rsid w:val="004F3B15"/>
    <w:rsid w:val="004F4505"/>
    <w:rsid w:val="004F50D6"/>
    <w:rsid w:val="004F5187"/>
    <w:rsid w:val="004F5B4C"/>
    <w:rsid w:val="004F60C6"/>
    <w:rsid w:val="004F6218"/>
    <w:rsid w:val="004F6508"/>
    <w:rsid w:val="004F6794"/>
    <w:rsid w:val="004F6A46"/>
    <w:rsid w:val="004F6DEF"/>
    <w:rsid w:val="004F763A"/>
    <w:rsid w:val="00500635"/>
    <w:rsid w:val="0050068F"/>
    <w:rsid w:val="00500698"/>
    <w:rsid w:val="00500F21"/>
    <w:rsid w:val="005014A1"/>
    <w:rsid w:val="005016E7"/>
    <w:rsid w:val="00501E5B"/>
    <w:rsid w:val="005023C2"/>
    <w:rsid w:val="005025B3"/>
    <w:rsid w:val="00502D10"/>
    <w:rsid w:val="00502DED"/>
    <w:rsid w:val="005031F6"/>
    <w:rsid w:val="00503D43"/>
    <w:rsid w:val="00504351"/>
    <w:rsid w:val="0050508C"/>
    <w:rsid w:val="00505203"/>
    <w:rsid w:val="005056EE"/>
    <w:rsid w:val="005060F4"/>
    <w:rsid w:val="00506369"/>
    <w:rsid w:val="0050661F"/>
    <w:rsid w:val="00506830"/>
    <w:rsid w:val="00506983"/>
    <w:rsid w:val="00506F9A"/>
    <w:rsid w:val="0050730B"/>
    <w:rsid w:val="0050733A"/>
    <w:rsid w:val="00507931"/>
    <w:rsid w:val="00510296"/>
    <w:rsid w:val="00510845"/>
    <w:rsid w:val="00510B0E"/>
    <w:rsid w:val="00511038"/>
    <w:rsid w:val="005110B1"/>
    <w:rsid w:val="00512020"/>
    <w:rsid w:val="00512056"/>
    <w:rsid w:val="00512930"/>
    <w:rsid w:val="00512AF5"/>
    <w:rsid w:val="00513BF7"/>
    <w:rsid w:val="00513F69"/>
    <w:rsid w:val="00514731"/>
    <w:rsid w:val="005148C0"/>
    <w:rsid w:val="005151EC"/>
    <w:rsid w:val="00515402"/>
    <w:rsid w:val="005155CD"/>
    <w:rsid w:val="00515923"/>
    <w:rsid w:val="00515B9E"/>
    <w:rsid w:val="00515D6A"/>
    <w:rsid w:val="0051647A"/>
    <w:rsid w:val="005167B8"/>
    <w:rsid w:val="00516878"/>
    <w:rsid w:val="00516B15"/>
    <w:rsid w:val="00516B3D"/>
    <w:rsid w:val="00516DE1"/>
    <w:rsid w:val="005173E1"/>
    <w:rsid w:val="00517469"/>
    <w:rsid w:val="00520689"/>
    <w:rsid w:val="005218EA"/>
    <w:rsid w:val="005227E4"/>
    <w:rsid w:val="005228B9"/>
    <w:rsid w:val="00522A56"/>
    <w:rsid w:val="00523456"/>
    <w:rsid w:val="0052364C"/>
    <w:rsid w:val="00524B8D"/>
    <w:rsid w:val="00524C97"/>
    <w:rsid w:val="00525D56"/>
    <w:rsid w:val="00526453"/>
    <w:rsid w:val="005268D2"/>
    <w:rsid w:val="00526A9E"/>
    <w:rsid w:val="0052746F"/>
    <w:rsid w:val="005276FC"/>
    <w:rsid w:val="00527E66"/>
    <w:rsid w:val="005305C2"/>
    <w:rsid w:val="00530C05"/>
    <w:rsid w:val="00530C40"/>
    <w:rsid w:val="00530D07"/>
    <w:rsid w:val="00530EBA"/>
    <w:rsid w:val="00530FED"/>
    <w:rsid w:val="0053136A"/>
    <w:rsid w:val="00531894"/>
    <w:rsid w:val="005319B8"/>
    <w:rsid w:val="00531EA2"/>
    <w:rsid w:val="00532728"/>
    <w:rsid w:val="00533034"/>
    <w:rsid w:val="00533143"/>
    <w:rsid w:val="00533293"/>
    <w:rsid w:val="005332C0"/>
    <w:rsid w:val="00533674"/>
    <w:rsid w:val="0053373C"/>
    <w:rsid w:val="00533A1E"/>
    <w:rsid w:val="00533A55"/>
    <w:rsid w:val="00533E3B"/>
    <w:rsid w:val="0053482D"/>
    <w:rsid w:val="0053597F"/>
    <w:rsid w:val="00535ADC"/>
    <w:rsid w:val="00535B29"/>
    <w:rsid w:val="00536454"/>
    <w:rsid w:val="0053669A"/>
    <w:rsid w:val="00536704"/>
    <w:rsid w:val="00536CE0"/>
    <w:rsid w:val="00536F90"/>
    <w:rsid w:val="00536FD6"/>
    <w:rsid w:val="00537054"/>
    <w:rsid w:val="00537D83"/>
    <w:rsid w:val="005402C7"/>
    <w:rsid w:val="0054050A"/>
    <w:rsid w:val="0054052B"/>
    <w:rsid w:val="00541738"/>
    <w:rsid w:val="0054455B"/>
    <w:rsid w:val="0054462C"/>
    <w:rsid w:val="00544C25"/>
    <w:rsid w:val="00544C7F"/>
    <w:rsid w:val="00544D1D"/>
    <w:rsid w:val="00544D5A"/>
    <w:rsid w:val="00544E5A"/>
    <w:rsid w:val="00544F8F"/>
    <w:rsid w:val="00545FE8"/>
    <w:rsid w:val="005464F6"/>
    <w:rsid w:val="00546596"/>
    <w:rsid w:val="0054735F"/>
    <w:rsid w:val="00547616"/>
    <w:rsid w:val="00547AEC"/>
    <w:rsid w:val="00547BF3"/>
    <w:rsid w:val="005509F8"/>
    <w:rsid w:val="00550C8C"/>
    <w:rsid w:val="00551A83"/>
    <w:rsid w:val="00551C8A"/>
    <w:rsid w:val="00551E1A"/>
    <w:rsid w:val="0055227B"/>
    <w:rsid w:val="00552518"/>
    <w:rsid w:val="00552666"/>
    <w:rsid w:val="005526AC"/>
    <w:rsid w:val="00552954"/>
    <w:rsid w:val="005536E7"/>
    <w:rsid w:val="00553768"/>
    <w:rsid w:val="005538A4"/>
    <w:rsid w:val="00553A54"/>
    <w:rsid w:val="0055454B"/>
    <w:rsid w:val="005548D0"/>
    <w:rsid w:val="0055513B"/>
    <w:rsid w:val="0055528A"/>
    <w:rsid w:val="005554E9"/>
    <w:rsid w:val="0055574C"/>
    <w:rsid w:val="0055599B"/>
    <w:rsid w:val="00555DD2"/>
    <w:rsid w:val="00555F72"/>
    <w:rsid w:val="00556280"/>
    <w:rsid w:val="00556FC8"/>
    <w:rsid w:val="00556FDE"/>
    <w:rsid w:val="00557133"/>
    <w:rsid w:val="00557388"/>
    <w:rsid w:val="00557583"/>
    <w:rsid w:val="00557AB0"/>
    <w:rsid w:val="00557E17"/>
    <w:rsid w:val="00560327"/>
    <w:rsid w:val="0056040F"/>
    <w:rsid w:val="005607D9"/>
    <w:rsid w:val="00560880"/>
    <w:rsid w:val="00560DF3"/>
    <w:rsid w:val="00561662"/>
    <w:rsid w:val="00561E4F"/>
    <w:rsid w:val="0056264F"/>
    <w:rsid w:val="00562976"/>
    <w:rsid w:val="00563461"/>
    <w:rsid w:val="00563512"/>
    <w:rsid w:val="00564957"/>
    <w:rsid w:val="00564C49"/>
    <w:rsid w:val="0056526E"/>
    <w:rsid w:val="005652DA"/>
    <w:rsid w:val="005660FC"/>
    <w:rsid w:val="00566434"/>
    <w:rsid w:val="0056644E"/>
    <w:rsid w:val="00566689"/>
    <w:rsid w:val="0056669F"/>
    <w:rsid w:val="00566A44"/>
    <w:rsid w:val="00566C69"/>
    <w:rsid w:val="0056739A"/>
    <w:rsid w:val="005676B3"/>
    <w:rsid w:val="00567D74"/>
    <w:rsid w:val="00567E71"/>
    <w:rsid w:val="00567F8E"/>
    <w:rsid w:val="00570157"/>
    <w:rsid w:val="005701E6"/>
    <w:rsid w:val="005705F1"/>
    <w:rsid w:val="00571F76"/>
    <w:rsid w:val="00573400"/>
    <w:rsid w:val="005734E2"/>
    <w:rsid w:val="00573598"/>
    <w:rsid w:val="00573845"/>
    <w:rsid w:val="00574846"/>
    <w:rsid w:val="00574ABF"/>
    <w:rsid w:val="00575738"/>
    <w:rsid w:val="0057589D"/>
    <w:rsid w:val="00575DDD"/>
    <w:rsid w:val="00576541"/>
    <w:rsid w:val="00576CC2"/>
    <w:rsid w:val="0058023C"/>
    <w:rsid w:val="005802DC"/>
    <w:rsid w:val="005802F4"/>
    <w:rsid w:val="00580E46"/>
    <w:rsid w:val="00581C32"/>
    <w:rsid w:val="00581CFC"/>
    <w:rsid w:val="00581F75"/>
    <w:rsid w:val="00582483"/>
    <w:rsid w:val="00583313"/>
    <w:rsid w:val="005839DA"/>
    <w:rsid w:val="00583A68"/>
    <w:rsid w:val="005844EF"/>
    <w:rsid w:val="00584B11"/>
    <w:rsid w:val="00585135"/>
    <w:rsid w:val="00585439"/>
    <w:rsid w:val="00585805"/>
    <w:rsid w:val="00586195"/>
    <w:rsid w:val="0058738B"/>
    <w:rsid w:val="0058785A"/>
    <w:rsid w:val="00587E4C"/>
    <w:rsid w:val="00591371"/>
    <w:rsid w:val="005917CC"/>
    <w:rsid w:val="0059183E"/>
    <w:rsid w:val="00591A01"/>
    <w:rsid w:val="00591E74"/>
    <w:rsid w:val="00591FF9"/>
    <w:rsid w:val="00592888"/>
    <w:rsid w:val="00592A5B"/>
    <w:rsid w:val="00592CD4"/>
    <w:rsid w:val="00593169"/>
    <w:rsid w:val="005933A7"/>
    <w:rsid w:val="0059388B"/>
    <w:rsid w:val="005938A6"/>
    <w:rsid w:val="005939AA"/>
    <w:rsid w:val="00593B2E"/>
    <w:rsid w:val="00593F4B"/>
    <w:rsid w:val="0059417F"/>
    <w:rsid w:val="00594348"/>
    <w:rsid w:val="0059470D"/>
    <w:rsid w:val="00594907"/>
    <w:rsid w:val="005950A4"/>
    <w:rsid w:val="0059556C"/>
    <w:rsid w:val="00595810"/>
    <w:rsid w:val="00595BA4"/>
    <w:rsid w:val="00595C67"/>
    <w:rsid w:val="00596366"/>
    <w:rsid w:val="005965D2"/>
    <w:rsid w:val="005969A1"/>
    <w:rsid w:val="005974B4"/>
    <w:rsid w:val="00597AE3"/>
    <w:rsid w:val="005A07B5"/>
    <w:rsid w:val="005A09CE"/>
    <w:rsid w:val="005A0A30"/>
    <w:rsid w:val="005A1884"/>
    <w:rsid w:val="005A1B4D"/>
    <w:rsid w:val="005A22D7"/>
    <w:rsid w:val="005A29AA"/>
    <w:rsid w:val="005A2E0C"/>
    <w:rsid w:val="005A2E12"/>
    <w:rsid w:val="005A3672"/>
    <w:rsid w:val="005A39E5"/>
    <w:rsid w:val="005A3AF5"/>
    <w:rsid w:val="005A3BED"/>
    <w:rsid w:val="005A3DB4"/>
    <w:rsid w:val="005A3EB8"/>
    <w:rsid w:val="005A4483"/>
    <w:rsid w:val="005A4614"/>
    <w:rsid w:val="005A4C43"/>
    <w:rsid w:val="005A56FA"/>
    <w:rsid w:val="005A5B60"/>
    <w:rsid w:val="005A5BD1"/>
    <w:rsid w:val="005A662A"/>
    <w:rsid w:val="005A7354"/>
    <w:rsid w:val="005A748D"/>
    <w:rsid w:val="005A778A"/>
    <w:rsid w:val="005B0472"/>
    <w:rsid w:val="005B0606"/>
    <w:rsid w:val="005B0CA8"/>
    <w:rsid w:val="005B1644"/>
    <w:rsid w:val="005B16BF"/>
    <w:rsid w:val="005B1C37"/>
    <w:rsid w:val="005B1EAB"/>
    <w:rsid w:val="005B1EB5"/>
    <w:rsid w:val="005B2514"/>
    <w:rsid w:val="005B29A3"/>
    <w:rsid w:val="005B2B39"/>
    <w:rsid w:val="005B2D98"/>
    <w:rsid w:val="005B3ABB"/>
    <w:rsid w:val="005B4186"/>
    <w:rsid w:val="005B4307"/>
    <w:rsid w:val="005B4F49"/>
    <w:rsid w:val="005B65BF"/>
    <w:rsid w:val="005B66B6"/>
    <w:rsid w:val="005B756D"/>
    <w:rsid w:val="005B75A7"/>
    <w:rsid w:val="005C0112"/>
    <w:rsid w:val="005C05F6"/>
    <w:rsid w:val="005C0E3E"/>
    <w:rsid w:val="005C0E70"/>
    <w:rsid w:val="005C105F"/>
    <w:rsid w:val="005C1B0A"/>
    <w:rsid w:val="005C1ED0"/>
    <w:rsid w:val="005C2907"/>
    <w:rsid w:val="005C2A34"/>
    <w:rsid w:val="005C3095"/>
    <w:rsid w:val="005C361A"/>
    <w:rsid w:val="005C3E06"/>
    <w:rsid w:val="005C3E1E"/>
    <w:rsid w:val="005C3F7A"/>
    <w:rsid w:val="005C409A"/>
    <w:rsid w:val="005C45CB"/>
    <w:rsid w:val="005C4658"/>
    <w:rsid w:val="005C4D5A"/>
    <w:rsid w:val="005C5239"/>
    <w:rsid w:val="005C6C32"/>
    <w:rsid w:val="005C6E02"/>
    <w:rsid w:val="005C6E1C"/>
    <w:rsid w:val="005C6FE7"/>
    <w:rsid w:val="005C793C"/>
    <w:rsid w:val="005D0D55"/>
    <w:rsid w:val="005D18D8"/>
    <w:rsid w:val="005D19CD"/>
    <w:rsid w:val="005D1D9C"/>
    <w:rsid w:val="005D1FA6"/>
    <w:rsid w:val="005D2863"/>
    <w:rsid w:val="005D323B"/>
    <w:rsid w:val="005D3AB0"/>
    <w:rsid w:val="005D3DD4"/>
    <w:rsid w:val="005D41F9"/>
    <w:rsid w:val="005D4A50"/>
    <w:rsid w:val="005D5001"/>
    <w:rsid w:val="005D5531"/>
    <w:rsid w:val="005D595F"/>
    <w:rsid w:val="005D5A14"/>
    <w:rsid w:val="005D5B16"/>
    <w:rsid w:val="005D5D67"/>
    <w:rsid w:val="005D607E"/>
    <w:rsid w:val="005D61AC"/>
    <w:rsid w:val="005D62B9"/>
    <w:rsid w:val="005D669C"/>
    <w:rsid w:val="005D68F0"/>
    <w:rsid w:val="005D6B3A"/>
    <w:rsid w:val="005D6CE3"/>
    <w:rsid w:val="005D7BF6"/>
    <w:rsid w:val="005E031D"/>
    <w:rsid w:val="005E07F7"/>
    <w:rsid w:val="005E0F1E"/>
    <w:rsid w:val="005E22A6"/>
    <w:rsid w:val="005E236A"/>
    <w:rsid w:val="005E2708"/>
    <w:rsid w:val="005E2A3C"/>
    <w:rsid w:val="005E2E2E"/>
    <w:rsid w:val="005E2F7F"/>
    <w:rsid w:val="005E3188"/>
    <w:rsid w:val="005E37B7"/>
    <w:rsid w:val="005E38BD"/>
    <w:rsid w:val="005E3B82"/>
    <w:rsid w:val="005E43A5"/>
    <w:rsid w:val="005E4424"/>
    <w:rsid w:val="005E50E1"/>
    <w:rsid w:val="005E5485"/>
    <w:rsid w:val="005E5536"/>
    <w:rsid w:val="005E5612"/>
    <w:rsid w:val="005E5727"/>
    <w:rsid w:val="005E580B"/>
    <w:rsid w:val="005E5C17"/>
    <w:rsid w:val="005E623A"/>
    <w:rsid w:val="005E623F"/>
    <w:rsid w:val="005E66F9"/>
    <w:rsid w:val="005E6F80"/>
    <w:rsid w:val="005E73E7"/>
    <w:rsid w:val="005E7731"/>
    <w:rsid w:val="005F037A"/>
    <w:rsid w:val="005F0CE3"/>
    <w:rsid w:val="005F1029"/>
    <w:rsid w:val="005F11EC"/>
    <w:rsid w:val="005F1B68"/>
    <w:rsid w:val="005F1E76"/>
    <w:rsid w:val="005F2451"/>
    <w:rsid w:val="005F29B6"/>
    <w:rsid w:val="005F2A3D"/>
    <w:rsid w:val="005F2A52"/>
    <w:rsid w:val="005F2EFC"/>
    <w:rsid w:val="005F31B1"/>
    <w:rsid w:val="005F31E8"/>
    <w:rsid w:val="005F35AE"/>
    <w:rsid w:val="005F3995"/>
    <w:rsid w:val="005F3C43"/>
    <w:rsid w:val="005F3C46"/>
    <w:rsid w:val="005F3FD9"/>
    <w:rsid w:val="005F4236"/>
    <w:rsid w:val="005F49DF"/>
    <w:rsid w:val="005F4AAF"/>
    <w:rsid w:val="005F5DC2"/>
    <w:rsid w:val="005F638F"/>
    <w:rsid w:val="005F727C"/>
    <w:rsid w:val="005F7289"/>
    <w:rsid w:val="005F72A8"/>
    <w:rsid w:val="00600649"/>
    <w:rsid w:val="00600685"/>
    <w:rsid w:val="006010E3"/>
    <w:rsid w:val="00601ABC"/>
    <w:rsid w:val="00601ACA"/>
    <w:rsid w:val="00601ADA"/>
    <w:rsid w:val="00602261"/>
    <w:rsid w:val="00602F1A"/>
    <w:rsid w:val="006031ED"/>
    <w:rsid w:val="006039C1"/>
    <w:rsid w:val="00603EC1"/>
    <w:rsid w:val="00604279"/>
    <w:rsid w:val="00604326"/>
    <w:rsid w:val="0060475E"/>
    <w:rsid w:val="006050ED"/>
    <w:rsid w:val="0060516A"/>
    <w:rsid w:val="0060518C"/>
    <w:rsid w:val="0060569F"/>
    <w:rsid w:val="00605A84"/>
    <w:rsid w:val="00605FC9"/>
    <w:rsid w:val="00606A1A"/>
    <w:rsid w:val="00606D07"/>
    <w:rsid w:val="006076E4"/>
    <w:rsid w:val="006077A7"/>
    <w:rsid w:val="00607B97"/>
    <w:rsid w:val="006108D2"/>
    <w:rsid w:val="00610C80"/>
    <w:rsid w:val="00610D25"/>
    <w:rsid w:val="006111DC"/>
    <w:rsid w:val="00611C34"/>
    <w:rsid w:val="00611E53"/>
    <w:rsid w:val="00612594"/>
    <w:rsid w:val="00612825"/>
    <w:rsid w:val="00612E1B"/>
    <w:rsid w:val="00612F36"/>
    <w:rsid w:val="006141E6"/>
    <w:rsid w:val="00614B7B"/>
    <w:rsid w:val="006152A9"/>
    <w:rsid w:val="00615654"/>
    <w:rsid w:val="00615B20"/>
    <w:rsid w:val="00616315"/>
    <w:rsid w:val="00617AAE"/>
    <w:rsid w:val="00617AB5"/>
    <w:rsid w:val="00617C94"/>
    <w:rsid w:val="0062008F"/>
    <w:rsid w:val="0062046D"/>
    <w:rsid w:val="00620E20"/>
    <w:rsid w:val="00621CA8"/>
    <w:rsid w:val="00622BAF"/>
    <w:rsid w:val="0062398D"/>
    <w:rsid w:val="006239E3"/>
    <w:rsid w:val="006243DE"/>
    <w:rsid w:val="00624E19"/>
    <w:rsid w:val="00624FFF"/>
    <w:rsid w:val="006253F5"/>
    <w:rsid w:val="006259D7"/>
    <w:rsid w:val="00625E55"/>
    <w:rsid w:val="0062628C"/>
    <w:rsid w:val="006264A9"/>
    <w:rsid w:val="00626D6D"/>
    <w:rsid w:val="00626FAC"/>
    <w:rsid w:val="00627293"/>
    <w:rsid w:val="00627601"/>
    <w:rsid w:val="00627784"/>
    <w:rsid w:val="00627DD5"/>
    <w:rsid w:val="00630541"/>
    <w:rsid w:val="00631442"/>
    <w:rsid w:val="00631781"/>
    <w:rsid w:val="00632099"/>
    <w:rsid w:val="00632318"/>
    <w:rsid w:val="0063339A"/>
    <w:rsid w:val="0063347C"/>
    <w:rsid w:val="0063369E"/>
    <w:rsid w:val="00633A58"/>
    <w:rsid w:val="00633CDD"/>
    <w:rsid w:val="006340DD"/>
    <w:rsid w:val="006346C3"/>
    <w:rsid w:val="00634BFA"/>
    <w:rsid w:val="00634D4B"/>
    <w:rsid w:val="00634E63"/>
    <w:rsid w:val="00634F30"/>
    <w:rsid w:val="006354BF"/>
    <w:rsid w:val="00635544"/>
    <w:rsid w:val="00635EA8"/>
    <w:rsid w:val="00636B79"/>
    <w:rsid w:val="00636BDB"/>
    <w:rsid w:val="006374D9"/>
    <w:rsid w:val="00637B20"/>
    <w:rsid w:val="00637CF3"/>
    <w:rsid w:val="00637DD7"/>
    <w:rsid w:val="00637F39"/>
    <w:rsid w:val="00640269"/>
    <w:rsid w:val="00640976"/>
    <w:rsid w:val="00640979"/>
    <w:rsid w:val="00640B04"/>
    <w:rsid w:val="00640D77"/>
    <w:rsid w:val="00641A89"/>
    <w:rsid w:val="00641ADB"/>
    <w:rsid w:val="00641FFE"/>
    <w:rsid w:val="006422C6"/>
    <w:rsid w:val="006429EE"/>
    <w:rsid w:val="00642C2D"/>
    <w:rsid w:val="006430C1"/>
    <w:rsid w:val="0064325E"/>
    <w:rsid w:val="006437F0"/>
    <w:rsid w:val="00644C95"/>
    <w:rsid w:val="00644D98"/>
    <w:rsid w:val="00644E5B"/>
    <w:rsid w:val="00645A67"/>
    <w:rsid w:val="00646DB5"/>
    <w:rsid w:val="00647172"/>
    <w:rsid w:val="00647760"/>
    <w:rsid w:val="00647ADA"/>
    <w:rsid w:val="00650305"/>
    <w:rsid w:val="0065077C"/>
    <w:rsid w:val="00650D86"/>
    <w:rsid w:val="00651160"/>
    <w:rsid w:val="00651AD5"/>
    <w:rsid w:val="00651D11"/>
    <w:rsid w:val="00652091"/>
    <w:rsid w:val="00652599"/>
    <w:rsid w:val="00653218"/>
    <w:rsid w:val="00653B93"/>
    <w:rsid w:val="00653D4D"/>
    <w:rsid w:val="00653EA4"/>
    <w:rsid w:val="006543F1"/>
    <w:rsid w:val="006544DB"/>
    <w:rsid w:val="0065471C"/>
    <w:rsid w:val="00654734"/>
    <w:rsid w:val="006549AA"/>
    <w:rsid w:val="00654ECD"/>
    <w:rsid w:val="00655561"/>
    <w:rsid w:val="00655585"/>
    <w:rsid w:val="00655B7C"/>
    <w:rsid w:val="00655C9C"/>
    <w:rsid w:val="0065620D"/>
    <w:rsid w:val="0065727C"/>
    <w:rsid w:val="0065786B"/>
    <w:rsid w:val="00657AC1"/>
    <w:rsid w:val="00657B8D"/>
    <w:rsid w:val="006601F3"/>
    <w:rsid w:val="00660432"/>
    <w:rsid w:val="00660B7D"/>
    <w:rsid w:val="00660D4D"/>
    <w:rsid w:val="00661209"/>
    <w:rsid w:val="006616BB"/>
    <w:rsid w:val="006616D4"/>
    <w:rsid w:val="0066186D"/>
    <w:rsid w:val="0066189C"/>
    <w:rsid w:val="006620BD"/>
    <w:rsid w:val="0066218B"/>
    <w:rsid w:val="0066317C"/>
    <w:rsid w:val="00663701"/>
    <w:rsid w:val="00663958"/>
    <w:rsid w:val="00663AB3"/>
    <w:rsid w:val="006642E2"/>
    <w:rsid w:val="00664E21"/>
    <w:rsid w:val="0066535D"/>
    <w:rsid w:val="0066549A"/>
    <w:rsid w:val="00665586"/>
    <w:rsid w:val="006655E6"/>
    <w:rsid w:val="0066576B"/>
    <w:rsid w:val="0066645B"/>
    <w:rsid w:val="00666FE3"/>
    <w:rsid w:val="00667000"/>
    <w:rsid w:val="00667269"/>
    <w:rsid w:val="006674DF"/>
    <w:rsid w:val="00667FA7"/>
    <w:rsid w:val="00670491"/>
    <w:rsid w:val="0067051C"/>
    <w:rsid w:val="006706E7"/>
    <w:rsid w:val="00670980"/>
    <w:rsid w:val="00670C0D"/>
    <w:rsid w:val="00670CB8"/>
    <w:rsid w:val="00670D6A"/>
    <w:rsid w:val="006710D8"/>
    <w:rsid w:val="00671FAE"/>
    <w:rsid w:val="006721A2"/>
    <w:rsid w:val="0067291F"/>
    <w:rsid w:val="0067304A"/>
    <w:rsid w:val="006730E6"/>
    <w:rsid w:val="00673544"/>
    <w:rsid w:val="006739C8"/>
    <w:rsid w:val="006742CB"/>
    <w:rsid w:val="006744B1"/>
    <w:rsid w:val="00674615"/>
    <w:rsid w:val="006747E7"/>
    <w:rsid w:val="00674875"/>
    <w:rsid w:val="006751D8"/>
    <w:rsid w:val="0067668C"/>
    <w:rsid w:val="00676E2D"/>
    <w:rsid w:val="00676E5B"/>
    <w:rsid w:val="006779C0"/>
    <w:rsid w:val="00677AD9"/>
    <w:rsid w:val="00677D34"/>
    <w:rsid w:val="00680306"/>
    <w:rsid w:val="00680C40"/>
    <w:rsid w:val="00680DFF"/>
    <w:rsid w:val="00680EAF"/>
    <w:rsid w:val="00680EF4"/>
    <w:rsid w:val="00681059"/>
    <w:rsid w:val="00681EF2"/>
    <w:rsid w:val="00682050"/>
    <w:rsid w:val="006823AF"/>
    <w:rsid w:val="00682737"/>
    <w:rsid w:val="006830D8"/>
    <w:rsid w:val="00683224"/>
    <w:rsid w:val="00683696"/>
    <w:rsid w:val="00684BA5"/>
    <w:rsid w:val="00685AF8"/>
    <w:rsid w:val="006866AF"/>
    <w:rsid w:val="006866FE"/>
    <w:rsid w:val="006871B6"/>
    <w:rsid w:val="0068763F"/>
    <w:rsid w:val="00687BD4"/>
    <w:rsid w:val="00690570"/>
    <w:rsid w:val="00690DAB"/>
    <w:rsid w:val="00691006"/>
    <w:rsid w:val="006916A4"/>
    <w:rsid w:val="00691985"/>
    <w:rsid w:val="00691E2B"/>
    <w:rsid w:val="0069283C"/>
    <w:rsid w:val="00693610"/>
    <w:rsid w:val="006938F2"/>
    <w:rsid w:val="00693B49"/>
    <w:rsid w:val="00694E28"/>
    <w:rsid w:val="00694EFD"/>
    <w:rsid w:val="00694F16"/>
    <w:rsid w:val="006950DB"/>
    <w:rsid w:val="00695A1D"/>
    <w:rsid w:val="00695BF6"/>
    <w:rsid w:val="00696174"/>
    <w:rsid w:val="00696948"/>
    <w:rsid w:val="00696D9E"/>
    <w:rsid w:val="006970A5"/>
    <w:rsid w:val="0069738F"/>
    <w:rsid w:val="006974D2"/>
    <w:rsid w:val="006A0A9F"/>
    <w:rsid w:val="006A1403"/>
    <w:rsid w:val="006A229D"/>
    <w:rsid w:val="006A2AB9"/>
    <w:rsid w:val="006A2F20"/>
    <w:rsid w:val="006A359D"/>
    <w:rsid w:val="006A3704"/>
    <w:rsid w:val="006A3E9F"/>
    <w:rsid w:val="006A4829"/>
    <w:rsid w:val="006A49D6"/>
    <w:rsid w:val="006A4DA6"/>
    <w:rsid w:val="006A50B3"/>
    <w:rsid w:val="006A632C"/>
    <w:rsid w:val="006A65A5"/>
    <w:rsid w:val="006A69D6"/>
    <w:rsid w:val="006A6CB5"/>
    <w:rsid w:val="006A70B3"/>
    <w:rsid w:val="006A76E8"/>
    <w:rsid w:val="006A7E9F"/>
    <w:rsid w:val="006B020A"/>
    <w:rsid w:val="006B03F2"/>
    <w:rsid w:val="006B09E4"/>
    <w:rsid w:val="006B20D7"/>
    <w:rsid w:val="006B2202"/>
    <w:rsid w:val="006B29AE"/>
    <w:rsid w:val="006B29BB"/>
    <w:rsid w:val="006B2E10"/>
    <w:rsid w:val="006B2E4E"/>
    <w:rsid w:val="006B32A5"/>
    <w:rsid w:val="006B340B"/>
    <w:rsid w:val="006B364D"/>
    <w:rsid w:val="006B37EA"/>
    <w:rsid w:val="006B3FE8"/>
    <w:rsid w:val="006B45AE"/>
    <w:rsid w:val="006B4EBD"/>
    <w:rsid w:val="006B4FEE"/>
    <w:rsid w:val="006B51F9"/>
    <w:rsid w:val="006B57F8"/>
    <w:rsid w:val="006B5A72"/>
    <w:rsid w:val="006B5DE4"/>
    <w:rsid w:val="006B63BA"/>
    <w:rsid w:val="006B6507"/>
    <w:rsid w:val="006B653B"/>
    <w:rsid w:val="006B731A"/>
    <w:rsid w:val="006B78EF"/>
    <w:rsid w:val="006B7B69"/>
    <w:rsid w:val="006C09CE"/>
    <w:rsid w:val="006C0D2B"/>
    <w:rsid w:val="006C0F75"/>
    <w:rsid w:val="006C186D"/>
    <w:rsid w:val="006C1A31"/>
    <w:rsid w:val="006C1A73"/>
    <w:rsid w:val="006C1AA0"/>
    <w:rsid w:val="006C1AC3"/>
    <w:rsid w:val="006C1DAC"/>
    <w:rsid w:val="006C1DC6"/>
    <w:rsid w:val="006C1E7D"/>
    <w:rsid w:val="006C25A9"/>
    <w:rsid w:val="006C25AA"/>
    <w:rsid w:val="006C2706"/>
    <w:rsid w:val="006C2763"/>
    <w:rsid w:val="006C28EF"/>
    <w:rsid w:val="006C33C2"/>
    <w:rsid w:val="006C3D8C"/>
    <w:rsid w:val="006C41EE"/>
    <w:rsid w:val="006C4701"/>
    <w:rsid w:val="006C4B53"/>
    <w:rsid w:val="006C5B0A"/>
    <w:rsid w:val="006C5CB4"/>
    <w:rsid w:val="006C5FA1"/>
    <w:rsid w:val="006C61D9"/>
    <w:rsid w:val="006C6354"/>
    <w:rsid w:val="006C647F"/>
    <w:rsid w:val="006C683C"/>
    <w:rsid w:val="006C7444"/>
    <w:rsid w:val="006C775F"/>
    <w:rsid w:val="006C7E80"/>
    <w:rsid w:val="006D0690"/>
    <w:rsid w:val="006D0F70"/>
    <w:rsid w:val="006D137F"/>
    <w:rsid w:val="006D1A4F"/>
    <w:rsid w:val="006D1C19"/>
    <w:rsid w:val="006D1C97"/>
    <w:rsid w:val="006D31E3"/>
    <w:rsid w:val="006D366F"/>
    <w:rsid w:val="006D463F"/>
    <w:rsid w:val="006D4764"/>
    <w:rsid w:val="006D48F5"/>
    <w:rsid w:val="006D4C99"/>
    <w:rsid w:val="006D4D80"/>
    <w:rsid w:val="006D5048"/>
    <w:rsid w:val="006D61F1"/>
    <w:rsid w:val="006D6AA1"/>
    <w:rsid w:val="006D77FF"/>
    <w:rsid w:val="006E0DCD"/>
    <w:rsid w:val="006E0FE0"/>
    <w:rsid w:val="006E1E5C"/>
    <w:rsid w:val="006E20CA"/>
    <w:rsid w:val="006E25ED"/>
    <w:rsid w:val="006E2628"/>
    <w:rsid w:val="006E2836"/>
    <w:rsid w:val="006E2AB0"/>
    <w:rsid w:val="006E2AF0"/>
    <w:rsid w:val="006E2C44"/>
    <w:rsid w:val="006E39AA"/>
    <w:rsid w:val="006E3AA0"/>
    <w:rsid w:val="006E459C"/>
    <w:rsid w:val="006E472B"/>
    <w:rsid w:val="006E47A3"/>
    <w:rsid w:val="006E4E84"/>
    <w:rsid w:val="006E582C"/>
    <w:rsid w:val="006E59C7"/>
    <w:rsid w:val="006E74A6"/>
    <w:rsid w:val="006F0667"/>
    <w:rsid w:val="006F0710"/>
    <w:rsid w:val="006F0726"/>
    <w:rsid w:val="006F0FA7"/>
    <w:rsid w:val="006F23D4"/>
    <w:rsid w:val="006F2A7E"/>
    <w:rsid w:val="006F32A2"/>
    <w:rsid w:val="006F36B7"/>
    <w:rsid w:val="006F3936"/>
    <w:rsid w:val="006F3CAF"/>
    <w:rsid w:val="006F4327"/>
    <w:rsid w:val="006F4B9C"/>
    <w:rsid w:val="006F4E37"/>
    <w:rsid w:val="006F53DB"/>
    <w:rsid w:val="006F5704"/>
    <w:rsid w:val="006F5BDD"/>
    <w:rsid w:val="006F667E"/>
    <w:rsid w:val="006F6EF0"/>
    <w:rsid w:val="006F76FD"/>
    <w:rsid w:val="006F7CA8"/>
    <w:rsid w:val="00700477"/>
    <w:rsid w:val="00700F20"/>
    <w:rsid w:val="00701225"/>
    <w:rsid w:val="00701629"/>
    <w:rsid w:val="00701FD3"/>
    <w:rsid w:val="007029F6"/>
    <w:rsid w:val="00702EC0"/>
    <w:rsid w:val="00703022"/>
    <w:rsid w:val="007030C8"/>
    <w:rsid w:val="00703985"/>
    <w:rsid w:val="00703AD3"/>
    <w:rsid w:val="00704039"/>
    <w:rsid w:val="007043F8"/>
    <w:rsid w:val="007048BD"/>
    <w:rsid w:val="0070493F"/>
    <w:rsid w:val="00704973"/>
    <w:rsid w:val="00704BF6"/>
    <w:rsid w:val="0070546C"/>
    <w:rsid w:val="00705505"/>
    <w:rsid w:val="007059DA"/>
    <w:rsid w:val="00705A01"/>
    <w:rsid w:val="00706A81"/>
    <w:rsid w:val="00707055"/>
    <w:rsid w:val="00707BAB"/>
    <w:rsid w:val="00707C12"/>
    <w:rsid w:val="00710332"/>
    <w:rsid w:val="00710399"/>
    <w:rsid w:val="00710BB5"/>
    <w:rsid w:val="00710F2B"/>
    <w:rsid w:val="007111CF"/>
    <w:rsid w:val="007116C4"/>
    <w:rsid w:val="00711F8A"/>
    <w:rsid w:val="00712688"/>
    <w:rsid w:val="00712A95"/>
    <w:rsid w:val="00712B3D"/>
    <w:rsid w:val="00712D7D"/>
    <w:rsid w:val="00713756"/>
    <w:rsid w:val="00713982"/>
    <w:rsid w:val="00713AD7"/>
    <w:rsid w:val="00714458"/>
    <w:rsid w:val="00714501"/>
    <w:rsid w:val="007149BE"/>
    <w:rsid w:val="00715227"/>
    <w:rsid w:val="0071547C"/>
    <w:rsid w:val="00716375"/>
    <w:rsid w:val="00716C79"/>
    <w:rsid w:val="00716D21"/>
    <w:rsid w:val="00716EEF"/>
    <w:rsid w:val="0071772A"/>
    <w:rsid w:val="00717918"/>
    <w:rsid w:val="007201DB"/>
    <w:rsid w:val="0072050C"/>
    <w:rsid w:val="00720C2F"/>
    <w:rsid w:val="00721112"/>
    <w:rsid w:val="00721694"/>
    <w:rsid w:val="00721C1E"/>
    <w:rsid w:val="00722CC9"/>
    <w:rsid w:val="00722CE4"/>
    <w:rsid w:val="00723262"/>
    <w:rsid w:val="007239C5"/>
    <w:rsid w:val="00723A15"/>
    <w:rsid w:val="00724167"/>
    <w:rsid w:val="00724616"/>
    <w:rsid w:val="007248B4"/>
    <w:rsid w:val="00724D78"/>
    <w:rsid w:val="00725134"/>
    <w:rsid w:val="00725989"/>
    <w:rsid w:val="00725DBB"/>
    <w:rsid w:val="00725F91"/>
    <w:rsid w:val="0072615A"/>
    <w:rsid w:val="00726278"/>
    <w:rsid w:val="0072631F"/>
    <w:rsid w:val="00726509"/>
    <w:rsid w:val="007268F2"/>
    <w:rsid w:val="00726E8D"/>
    <w:rsid w:val="007271E8"/>
    <w:rsid w:val="007274AC"/>
    <w:rsid w:val="00727DF8"/>
    <w:rsid w:val="007305E8"/>
    <w:rsid w:val="00730869"/>
    <w:rsid w:val="00730AE1"/>
    <w:rsid w:val="00731404"/>
    <w:rsid w:val="0073151F"/>
    <w:rsid w:val="007315AD"/>
    <w:rsid w:val="007318F4"/>
    <w:rsid w:val="00731B16"/>
    <w:rsid w:val="00731D7C"/>
    <w:rsid w:val="00732696"/>
    <w:rsid w:val="007328DA"/>
    <w:rsid w:val="00732DEA"/>
    <w:rsid w:val="00733402"/>
    <w:rsid w:val="007344C3"/>
    <w:rsid w:val="00734598"/>
    <w:rsid w:val="00735578"/>
    <w:rsid w:val="007357A4"/>
    <w:rsid w:val="0073611A"/>
    <w:rsid w:val="00736CD2"/>
    <w:rsid w:val="007371C9"/>
    <w:rsid w:val="007373A8"/>
    <w:rsid w:val="007376FD"/>
    <w:rsid w:val="007377A4"/>
    <w:rsid w:val="007404DE"/>
    <w:rsid w:val="00740C98"/>
    <w:rsid w:val="00740ED4"/>
    <w:rsid w:val="00740EEB"/>
    <w:rsid w:val="00740F14"/>
    <w:rsid w:val="00741235"/>
    <w:rsid w:val="007416A8"/>
    <w:rsid w:val="00741F7A"/>
    <w:rsid w:val="00742570"/>
    <w:rsid w:val="007431D5"/>
    <w:rsid w:val="00743912"/>
    <w:rsid w:val="00743A07"/>
    <w:rsid w:val="00743F0B"/>
    <w:rsid w:val="00744CDE"/>
    <w:rsid w:val="00745236"/>
    <w:rsid w:val="007458FD"/>
    <w:rsid w:val="007461C5"/>
    <w:rsid w:val="00746DA9"/>
    <w:rsid w:val="0074796E"/>
    <w:rsid w:val="00750241"/>
    <w:rsid w:val="00750258"/>
    <w:rsid w:val="00750A0E"/>
    <w:rsid w:val="00750A2B"/>
    <w:rsid w:val="00750AF9"/>
    <w:rsid w:val="00750C24"/>
    <w:rsid w:val="00750F20"/>
    <w:rsid w:val="00753931"/>
    <w:rsid w:val="00753992"/>
    <w:rsid w:val="00753F0B"/>
    <w:rsid w:val="00755770"/>
    <w:rsid w:val="00755AC5"/>
    <w:rsid w:val="00756285"/>
    <w:rsid w:val="00756317"/>
    <w:rsid w:val="00756A8A"/>
    <w:rsid w:val="00756E0F"/>
    <w:rsid w:val="007571C5"/>
    <w:rsid w:val="0075725B"/>
    <w:rsid w:val="0075741B"/>
    <w:rsid w:val="00757C95"/>
    <w:rsid w:val="00757E35"/>
    <w:rsid w:val="00760232"/>
    <w:rsid w:val="00760FC7"/>
    <w:rsid w:val="007611B5"/>
    <w:rsid w:val="00761D11"/>
    <w:rsid w:val="007625AB"/>
    <w:rsid w:val="00762BF2"/>
    <w:rsid w:val="00763082"/>
    <w:rsid w:val="00763210"/>
    <w:rsid w:val="007632EA"/>
    <w:rsid w:val="00763A90"/>
    <w:rsid w:val="007642AD"/>
    <w:rsid w:val="00764605"/>
    <w:rsid w:val="0076484C"/>
    <w:rsid w:val="00764D30"/>
    <w:rsid w:val="00765D7D"/>
    <w:rsid w:val="0076600A"/>
    <w:rsid w:val="007667AF"/>
    <w:rsid w:val="007667FB"/>
    <w:rsid w:val="00766F2E"/>
    <w:rsid w:val="00770C4B"/>
    <w:rsid w:val="00770C6C"/>
    <w:rsid w:val="007718F6"/>
    <w:rsid w:val="00771EE0"/>
    <w:rsid w:val="00772377"/>
    <w:rsid w:val="0077298F"/>
    <w:rsid w:val="00772E02"/>
    <w:rsid w:val="00773E94"/>
    <w:rsid w:val="00775392"/>
    <w:rsid w:val="00775AB9"/>
    <w:rsid w:val="00776349"/>
    <w:rsid w:val="007769A8"/>
    <w:rsid w:val="00776AE0"/>
    <w:rsid w:val="00776D92"/>
    <w:rsid w:val="00776F3A"/>
    <w:rsid w:val="0077750A"/>
    <w:rsid w:val="007776A9"/>
    <w:rsid w:val="007802D3"/>
    <w:rsid w:val="00780B8E"/>
    <w:rsid w:val="00780F3B"/>
    <w:rsid w:val="0078134B"/>
    <w:rsid w:val="007829CB"/>
    <w:rsid w:val="00782EDC"/>
    <w:rsid w:val="00783091"/>
    <w:rsid w:val="007841FF"/>
    <w:rsid w:val="00784276"/>
    <w:rsid w:val="00784580"/>
    <w:rsid w:val="00784611"/>
    <w:rsid w:val="00784FEC"/>
    <w:rsid w:val="00785693"/>
    <w:rsid w:val="00785D6D"/>
    <w:rsid w:val="00785F8B"/>
    <w:rsid w:val="007872F0"/>
    <w:rsid w:val="0078738F"/>
    <w:rsid w:val="007878DF"/>
    <w:rsid w:val="00787D85"/>
    <w:rsid w:val="00787E62"/>
    <w:rsid w:val="00790227"/>
    <w:rsid w:val="007902A4"/>
    <w:rsid w:val="007902B1"/>
    <w:rsid w:val="007906A2"/>
    <w:rsid w:val="007907A9"/>
    <w:rsid w:val="00790C5E"/>
    <w:rsid w:val="00790D1C"/>
    <w:rsid w:val="00790D36"/>
    <w:rsid w:val="007915F9"/>
    <w:rsid w:val="00791B27"/>
    <w:rsid w:val="0079202A"/>
    <w:rsid w:val="00792805"/>
    <w:rsid w:val="00792BA5"/>
    <w:rsid w:val="00792C08"/>
    <w:rsid w:val="00793829"/>
    <w:rsid w:val="00793C3E"/>
    <w:rsid w:val="00793EBC"/>
    <w:rsid w:val="0079484D"/>
    <w:rsid w:val="00794BFB"/>
    <w:rsid w:val="007952E8"/>
    <w:rsid w:val="00796895"/>
    <w:rsid w:val="00796977"/>
    <w:rsid w:val="00796ECE"/>
    <w:rsid w:val="007977E1"/>
    <w:rsid w:val="00797ED3"/>
    <w:rsid w:val="007A0AE9"/>
    <w:rsid w:val="007A0B0F"/>
    <w:rsid w:val="007A0C3A"/>
    <w:rsid w:val="007A0D61"/>
    <w:rsid w:val="007A0FB4"/>
    <w:rsid w:val="007A10E0"/>
    <w:rsid w:val="007A176F"/>
    <w:rsid w:val="007A1842"/>
    <w:rsid w:val="007A1C86"/>
    <w:rsid w:val="007A1E15"/>
    <w:rsid w:val="007A28F5"/>
    <w:rsid w:val="007A2B80"/>
    <w:rsid w:val="007A2C3C"/>
    <w:rsid w:val="007A2D3F"/>
    <w:rsid w:val="007A3389"/>
    <w:rsid w:val="007A3CDF"/>
    <w:rsid w:val="007A41D5"/>
    <w:rsid w:val="007A467A"/>
    <w:rsid w:val="007A477F"/>
    <w:rsid w:val="007A4B1B"/>
    <w:rsid w:val="007A4CA7"/>
    <w:rsid w:val="007A4D98"/>
    <w:rsid w:val="007A523B"/>
    <w:rsid w:val="007A56F7"/>
    <w:rsid w:val="007A5F0C"/>
    <w:rsid w:val="007A6154"/>
    <w:rsid w:val="007A6564"/>
    <w:rsid w:val="007A6677"/>
    <w:rsid w:val="007A67B3"/>
    <w:rsid w:val="007A6DC3"/>
    <w:rsid w:val="007A7265"/>
    <w:rsid w:val="007B0106"/>
    <w:rsid w:val="007B0238"/>
    <w:rsid w:val="007B1169"/>
    <w:rsid w:val="007B15C9"/>
    <w:rsid w:val="007B16B4"/>
    <w:rsid w:val="007B1AB4"/>
    <w:rsid w:val="007B1E98"/>
    <w:rsid w:val="007B2EC8"/>
    <w:rsid w:val="007B5046"/>
    <w:rsid w:val="007B5990"/>
    <w:rsid w:val="007B634A"/>
    <w:rsid w:val="007B63AA"/>
    <w:rsid w:val="007B63DF"/>
    <w:rsid w:val="007B74DC"/>
    <w:rsid w:val="007B75D3"/>
    <w:rsid w:val="007B7A3C"/>
    <w:rsid w:val="007B7E2F"/>
    <w:rsid w:val="007B7E34"/>
    <w:rsid w:val="007C031C"/>
    <w:rsid w:val="007C05CE"/>
    <w:rsid w:val="007C205C"/>
    <w:rsid w:val="007C2792"/>
    <w:rsid w:val="007C2C2D"/>
    <w:rsid w:val="007C2FB3"/>
    <w:rsid w:val="007C32B7"/>
    <w:rsid w:val="007C3FA5"/>
    <w:rsid w:val="007C43C8"/>
    <w:rsid w:val="007C4A23"/>
    <w:rsid w:val="007C51CA"/>
    <w:rsid w:val="007C53A7"/>
    <w:rsid w:val="007C5789"/>
    <w:rsid w:val="007C5B09"/>
    <w:rsid w:val="007C60E4"/>
    <w:rsid w:val="007C6672"/>
    <w:rsid w:val="007C66CD"/>
    <w:rsid w:val="007C67F2"/>
    <w:rsid w:val="007C6D38"/>
    <w:rsid w:val="007C75C5"/>
    <w:rsid w:val="007C7B27"/>
    <w:rsid w:val="007C7CEB"/>
    <w:rsid w:val="007C7EFD"/>
    <w:rsid w:val="007D08F3"/>
    <w:rsid w:val="007D0B30"/>
    <w:rsid w:val="007D0CED"/>
    <w:rsid w:val="007D15D6"/>
    <w:rsid w:val="007D1A27"/>
    <w:rsid w:val="007D1A97"/>
    <w:rsid w:val="007D1DCA"/>
    <w:rsid w:val="007D23DF"/>
    <w:rsid w:val="007D2433"/>
    <w:rsid w:val="007D3AD7"/>
    <w:rsid w:val="007D44B9"/>
    <w:rsid w:val="007D4548"/>
    <w:rsid w:val="007D46DE"/>
    <w:rsid w:val="007D4E85"/>
    <w:rsid w:val="007D5045"/>
    <w:rsid w:val="007D533A"/>
    <w:rsid w:val="007D5344"/>
    <w:rsid w:val="007D5607"/>
    <w:rsid w:val="007D58EC"/>
    <w:rsid w:val="007D59A3"/>
    <w:rsid w:val="007D5FF9"/>
    <w:rsid w:val="007D6590"/>
    <w:rsid w:val="007D6948"/>
    <w:rsid w:val="007D6CE4"/>
    <w:rsid w:val="007D6E03"/>
    <w:rsid w:val="007D6E35"/>
    <w:rsid w:val="007D7120"/>
    <w:rsid w:val="007D713E"/>
    <w:rsid w:val="007D7694"/>
    <w:rsid w:val="007D781E"/>
    <w:rsid w:val="007D79C4"/>
    <w:rsid w:val="007D7C59"/>
    <w:rsid w:val="007D7EBA"/>
    <w:rsid w:val="007E040B"/>
    <w:rsid w:val="007E115A"/>
    <w:rsid w:val="007E11C8"/>
    <w:rsid w:val="007E13EF"/>
    <w:rsid w:val="007E1A7E"/>
    <w:rsid w:val="007E224D"/>
    <w:rsid w:val="007E25F1"/>
    <w:rsid w:val="007E3832"/>
    <w:rsid w:val="007E3D3E"/>
    <w:rsid w:val="007E4C3B"/>
    <w:rsid w:val="007E5F65"/>
    <w:rsid w:val="007E726F"/>
    <w:rsid w:val="007E7E07"/>
    <w:rsid w:val="007F064F"/>
    <w:rsid w:val="007F106C"/>
    <w:rsid w:val="007F1856"/>
    <w:rsid w:val="007F19EE"/>
    <w:rsid w:val="007F28C5"/>
    <w:rsid w:val="007F310F"/>
    <w:rsid w:val="007F3ADA"/>
    <w:rsid w:val="007F3F2F"/>
    <w:rsid w:val="007F4666"/>
    <w:rsid w:val="007F4954"/>
    <w:rsid w:val="007F4F2E"/>
    <w:rsid w:val="007F5011"/>
    <w:rsid w:val="007F5520"/>
    <w:rsid w:val="007F5C22"/>
    <w:rsid w:val="007F5CE4"/>
    <w:rsid w:val="007F676F"/>
    <w:rsid w:val="007F692C"/>
    <w:rsid w:val="007F6D2F"/>
    <w:rsid w:val="007F725F"/>
    <w:rsid w:val="007F74EC"/>
    <w:rsid w:val="007F76C6"/>
    <w:rsid w:val="007F7942"/>
    <w:rsid w:val="007F7BB4"/>
    <w:rsid w:val="007F7C8C"/>
    <w:rsid w:val="007F7FED"/>
    <w:rsid w:val="008001D9"/>
    <w:rsid w:val="0080091A"/>
    <w:rsid w:val="00800A16"/>
    <w:rsid w:val="00800BA8"/>
    <w:rsid w:val="00800C41"/>
    <w:rsid w:val="00801542"/>
    <w:rsid w:val="008017FA"/>
    <w:rsid w:val="00801C89"/>
    <w:rsid w:val="00802888"/>
    <w:rsid w:val="00803340"/>
    <w:rsid w:val="00803BF5"/>
    <w:rsid w:val="0080453B"/>
    <w:rsid w:val="00805176"/>
    <w:rsid w:val="0080555C"/>
    <w:rsid w:val="00805E53"/>
    <w:rsid w:val="00806D7D"/>
    <w:rsid w:val="00806E53"/>
    <w:rsid w:val="008074D5"/>
    <w:rsid w:val="008076D6"/>
    <w:rsid w:val="008077D9"/>
    <w:rsid w:val="00807F6B"/>
    <w:rsid w:val="00810A39"/>
    <w:rsid w:val="0081100A"/>
    <w:rsid w:val="008112F7"/>
    <w:rsid w:val="00811487"/>
    <w:rsid w:val="00811D6C"/>
    <w:rsid w:val="00812861"/>
    <w:rsid w:val="00812B21"/>
    <w:rsid w:val="00813980"/>
    <w:rsid w:val="00814826"/>
    <w:rsid w:val="008149D3"/>
    <w:rsid w:val="00815357"/>
    <w:rsid w:val="008153DA"/>
    <w:rsid w:val="00815F74"/>
    <w:rsid w:val="0081667B"/>
    <w:rsid w:val="00816AD1"/>
    <w:rsid w:val="008173E3"/>
    <w:rsid w:val="00817523"/>
    <w:rsid w:val="008175A3"/>
    <w:rsid w:val="00817868"/>
    <w:rsid w:val="00817F73"/>
    <w:rsid w:val="00817FA2"/>
    <w:rsid w:val="008203B6"/>
    <w:rsid w:val="008205CD"/>
    <w:rsid w:val="008206E3"/>
    <w:rsid w:val="00820DB6"/>
    <w:rsid w:val="00820E40"/>
    <w:rsid w:val="0082102A"/>
    <w:rsid w:val="008213C8"/>
    <w:rsid w:val="008219BA"/>
    <w:rsid w:val="00821BA4"/>
    <w:rsid w:val="00822362"/>
    <w:rsid w:val="00822458"/>
    <w:rsid w:val="00822500"/>
    <w:rsid w:val="00823367"/>
    <w:rsid w:val="00824872"/>
    <w:rsid w:val="008249E2"/>
    <w:rsid w:val="008252A3"/>
    <w:rsid w:val="0082544D"/>
    <w:rsid w:val="00825586"/>
    <w:rsid w:val="00826821"/>
    <w:rsid w:val="00827830"/>
    <w:rsid w:val="00830128"/>
    <w:rsid w:val="00830D4B"/>
    <w:rsid w:val="00831504"/>
    <w:rsid w:val="008318A9"/>
    <w:rsid w:val="00832F1A"/>
    <w:rsid w:val="0083354C"/>
    <w:rsid w:val="008337D6"/>
    <w:rsid w:val="00833A25"/>
    <w:rsid w:val="00834DE6"/>
    <w:rsid w:val="00834E29"/>
    <w:rsid w:val="0083510D"/>
    <w:rsid w:val="00835A16"/>
    <w:rsid w:val="00835D37"/>
    <w:rsid w:val="0083631B"/>
    <w:rsid w:val="008364AB"/>
    <w:rsid w:val="00836C2F"/>
    <w:rsid w:val="00836D2F"/>
    <w:rsid w:val="008376F4"/>
    <w:rsid w:val="00841205"/>
    <w:rsid w:val="0084176A"/>
    <w:rsid w:val="0084225C"/>
    <w:rsid w:val="00842C90"/>
    <w:rsid w:val="00843082"/>
    <w:rsid w:val="00843270"/>
    <w:rsid w:val="00843875"/>
    <w:rsid w:val="0084393D"/>
    <w:rsid w:val="008441DB"/>
    <w:rsid w:val="00844526"/>
    <w:rsid w:val="00844848"/>
    <w:rsid w:val="00844B8D"/>
    <w:rsid w:val="00844F52"/>
    <w:rsid w:val="008456B5"/>
    <w:rsid w:val="008458A5"/>
    <w:rsid w:val="00845B9D"/>
    <w:rsid w:val="00845DE3"/>
    <w:rsid w:val="008460C9"/>
    <w:rsid w:val="008505E3"/>
    <w:rsid w:val="008507B5"/>
    <w:rsid w:val="00850F40"/>
    <w:rsid w:val="00850FDF"/>
    <w:rsid w:val="008510FB"/>
    <w:rsid w:val="008515C7"/>
    <w:rsid w:val="00851F72"/>
    <w:rsid w:val="00852724"/>
    <w:rsid w:val="00852B43"/>
    <w:rsid w:val="008533D9"/>
    <w:rsid w:val="00853625"/>
    <w:rsid w:val="0085366D"/>
    <w:rsid w:val="00853FE5"/>
    <w:rsid w:val="008544C7"/>
    <w:rsid w:val="00854843"/>
    <w:rsid w:val="00854FEA"/>
    <w:rsid w:val="00855B94"/>
    <w:rsid w:val="00855DE1"/>
    <w:rsid w:val="0085612F"/>
    <w:rsid w:val="008563A0"/>
    <w:rsid w:val="008563F9"/>
    <w:rsid w:val="008571A9"/>
    <w:rsid w:val="00857B9A"/>
    <w:rsid w:val="00857D21"/>
    <w:rsid w:val="008601ED"/>
    <w:rsid w:val="00860988"/>
    <w:rsid w:val="00860CD2"/>
    <w:rsid w:val="008614EE"/>
    <w:rsid w:val="008616EF"/>
    <w:rsid w:val="0086178A"/>
    <w:rsid w:val="00861B83"/>
    <w:rsid w:val="00861D09"/>
    <w:rsid w:val="00862333"/>
    <w:rsid w:val="00862481"/>
    <w:rsid w:val="008633CF"/>
    <w:rsid w:val="00864992"/>
    <w:rsid w:val="008649E1"/>
    <w:rsid w:val="00864BAB"/>
    <w:rsid w:val="00864E4A"/>
    <w:rsid w:val="00865AE4"/>
    <w:rsid w:val="00865E5E"/>
    <w:rsid w:val="00866C7F"/>
    <w:rsid w:val="00867546"/>
    <w:rsid w:val="00867F55"/>
    <w:rsid w:val="00867FF6"/>
    <w:rsid w:val="008706B9"/>
    <w:rsid w:val="00870D8F"/>
    <w:rsid w:val="008716A7"/>
    <w:rsid w:val="0087180D"/>
    <w:rsid w:val="00871CD9"/>
    <w:rsid w:val="008727A9"/>
    <w:rsid w:val="00872B82"/>
    <w:rsid w:val="00872F6B"/>
    <w:rsid w:val="00873346"/>
    <w:rsid w:val="0087435F"/>
    <w:rsid w:val="00874567"/>
    <w:rsid w:val="008754C9"/>
    <w:rsid w:val="008757E1"/>
    <w:rsid w:val="00875B2D"/>
    <w:rsid w:val="00876114"/>
    <w:rsid w:val="008763F6"/>
    <w:rsid w:val="00876869"/>
    <w:rsid w:val="00876CED"/>
    <w:rsid w:val="00880817"/>
    <w:rsid w:val="00880BF0"/>
    <w:rsid w:val="00881A00"/>
    <w:rsid w:val="00881CBC"/>
    <w:rsid w:val="00882190"/>
    <w:rsid w:val="00882C7A"/>
    <w:rsid w:val="00882CC2"/>
    <w:rsid w:val="00883641"/>
    <w:rsid w:val="00883892"/>
    <w:rsid w:val="00883CC3"/>
    <w:rsid w:val="008851A7"/>
    <w:rsid w:val="00887500"/>
    <w:rsid w:val="00887DB3"/>
    <w:rsid w:val="00890064"/>
    <w:rsid w:val="008905A0"/>
    <w:rsid w:val="00890805"/>
    <w:rsid w:val="00890965"/>
    <w:rsid w:val="008911E2"/>
    <w:rsid w:val="00891429"/>
    <w:rsid w:val="008915DC"/>
    <w:rsid w:val="00892673"/>
    <w:rsid w:val="00892D7B"/>
    <w:rsid w:val="00892DEA"/>
    <w:rsid w:val="00893EC7"/>
    <w:rsid w:val="00894915"/>
    <w:rsid w:val="0089492E"/>
    <w:rsid w:val="008951EF"/>
    <w:rsid w:val="008954C0"/>
    <w:rsid w:val="008956BB"/>
    <w:rsid w:val="008967C0"/>
    <w:rsid w:val="00897037"/>
    <w:rsid w:val="00897686"/>
    <w:rsid w:val="008978A7"/>
    <w:rsid w:val="008A089C"/>
    <w:rsid w:val="008A0A94"/>
    <w:rsid w:val="008A0AAC"/>
    <w:rsid w:val="008A141A"/>
    <w:rsid w:val="008A18E1"/>
    <w:rsid w:val="008A1B2E"/>
    <w:rsid w:val="008A1CA4"/>
    <w:rsid w:val="008A1EFE"/>
    <w:rsid w:val="008A2B76"/>
    <w:rsid w:val="008A312F"/>
    <w:rsid w:val="008A3599"/>
    <w:rsid w:val="008A3C03"/>
    <w:rsid w:val="008A3FF6"/>
    <w:rsid w:val="008A4E21"/>
    <w:rsid w:val="008A5841"/>
    <w:rsid w:val="008A5C77"/>
    <w:rsid w:val="008A5C93"/>
    <w:rsid w:val="008A645C"/>
    <w:rsid w:val="008A6DC3"/>
    <w:rsid w:val="008A6FA4"/>
    <w:rsid w:val="008A714B"/>
    <w:rsid w:val="008A716B"/>
    <w:rsid w:val="008A77BC"/>
    <w:rsid w:val="008B0955"/>
    <w:rsid w:val="008B0EE3"/>
    <w:rsid w:val="008B0FDE"/>
    <w:rsid w:val="008B2FFB"/>
    <w:rsid w:val="008B343B"/>
    <w:rsid w:val="008B4170"/>
    <w:rsid w:val="008B451C"/>
    <w:rsid w:val="008B467C"/>
    <w:rsid w:val="008B4D3F"/>
    <w:rsid w:val="008B4D52"/>
    <w:rsid w:val="008B4D80"/>
    <w:rsid w:val="008B5D1F"/>
    <w:rsid w:val="008B5F59"/>
    <w:rsid w:val="008B606D"/>
    <w:rsid w:val="008B62A1"/>
    <w:rsid w:val="008B665D"/>
    <w:rsid w:val="008B6B6C"/>
    <w:rsid w:val="008B6FC0"/>
    <w:rsid w:val="008B72CA"/>
    <w:rsid w:val="008B75FD"/>
    <w:rsid w:val="008B7F67"/>
    <w:rsid w:val="008C0001"/>
    <w:rsid w:val="008C0975"/>
    <w:rsid w:val="008C0AE8"/>
    <w:rsid w:val="008C0AFB"/>
    <w:rsid w:val="008C0F01"/>
    <w:rsid w:val="008C120B"/>
    <w:rsid w:val="008C17BD"/>
    <w:rsid w:val="008C19FE"/>
    <w:rsid w:val="008C1F50"/>
    <w:rsid w:val="008C232C"/>
    <w:rsid w:val="008C258C"/>
    <w:rsid w:val="008C28EF"/>
    <w:rsid w:val="008C3ABD"/>
    <w:rsid w:val="008C431B"/>
    <w:rsid w:val="008C4A80"/>
    <w:rsid w:val="008C50C9"/>
    <w:rsid w:val="008C5431"/>
    <w:rsid w:val="008C653E"/>
    <w:rsid w:val="008C682E"/>
    <w:rsid w:val="008C6C03"/>
    <w:rsid w:val="008C7908"/>
    <w:rsid w:val="008D036F"/>
    <w:rsid w:val="008D104F"/>
    <w:rsid w:val="008D15CB"/>
    <w:rsid w:val="008D190A"/>
    <w:rsid w:val="008D193A"/>
    <w:rsid w:val="008D1F60"/>
    <w:rsid w:val="008D2127"/>
    <w:rsid w:val="008D226E"/>
    <w:rsid w:val="008D26AC"/>
    <w:rsid w:val="008D2E23"/>
    <w:rsid w:val="008D3179"/>
    <w:rsid w:val="008D33CB"/>
    <w:rsid w:val="008D3D2D"/>
    <w:rsid w:val="008D4106"/>
    <w:rsid w:val="008D49D6"/>
    <w:rsid w:val="008D55E0"/>
    <w:rsid w:val="008D62A8"/>
    <w:rsid w:val="008D6DBB"/>
    <w:rsid w:val="008D726D"/>
    <w:rsid w:val="008D72AC"/>
    <w:rsid w:val="008D7DBB"/>
    <w:rsid w:val="008D7EAF"/>
    <w:rsid w:val="008E0114"/>
    <w:rsid w:val="008E0620"/>
    <w:rsid w:val="008E1263"/>
    <w:rsid w:val="008E173B"/>
    <w:rsid w:val="008E19D7"/>
    <w:rsid w:val="008E2161"/>
    <w:rsid w:val="008E221A"/>
    <w:rsid w:val="008E2C6C"/>
    <w:rsid w:val="008E2D85"/>
    <w:rsid w:val="008E375A"/>
    <w:rsid w:val="008E3823"/>
    <w:rsid w:val="008E3A64"/>
    <w:rsid w:val="008E3B9F"/>
    <w:rsid w:val="008E3E90"/>
    <w:rsid w:val="008E426C"/>
    <w:rsid w:val="008E4490"/>
    <w:rsid w:val="008E4D9C"/>
    <w:rsid w:val="008E569B"/>
    <w:rsid w:val="008E5D29"/>
    <w:rsid w:val="008E657E"/>
    <w:rsid w:val="008E6BBF"/>
    <w:rsid w:val="008E7174"/>
    <w:rsid w:val="008E7892"/>
    <w:rsid w:val="008E78B0"/>
    <w:rsid w:val="008F00AC"/>
    <w:rsid w:val="008F1AE2"/>
    <w:rsid w:val="008F1E03"/>
    <w:rsid w:val="008F2E03"/>
    <w:rsid w:val="008F36DF"/>
    <w:rsid w:val="008F37F6"/>
    <w:rsid w:val="008F4012"/>
    <w:rsid w:val="008F40E5"/>
    <w:rsid w:val="008F40FC"/>
    <w:rsid w:val="008F414C"/>
    <w:rsid w:val="008F4820"/>
    <w:rsid w:val="008F53B0"/>
    <w:rsid w:val="008F57E5"/>
    <w:rsid w:val="008F5853"/>
    <w:rsid w:val="008F586D"/>
    <w:rsid w:val="008F5CF2"/>
    <w:rsid w:val="008F5FC6"/>
    <w:rsid w:val="008F699A"/>
    <w:rsid w:val="008F6AC1"/>
    <w:rsid w:val="008F7385"/>
    <w:rsid w:val="008F738C"/>
    <w:rsid w:val="008F7574"/>
    <w:rsid w:val="008F76A0"/>
    <w:rsid w:val="008F76D4"/>
    <w:rsid w:val="00900319"/>
    <w:rsid w:val="00900496"/>
    <w:rsid w:val="00900A35"/>
    <w:rsid w:val="00900DCF"/>
    <w:rsid w:val="0090162A"/>
    <w:rsid w:val="009017E4"/>
    <w:rsid w:val="00901C8C"/>
    <w:rsid w:val="00901CC6"/>
    <w:rsid w:val="0090234C"/>
    <w:rsid w:val="009027EB"/>
    <w:rsid w:val="009031BF"/>
    <w:rsid w:val="0090344D"/>
    <w:rsid w:val="00904BD8"/>
    <w:rsid w:val="00904C64"/>
    <w:rsid w:val="0090509E"/>
    <w:rsid w:val="009051F8"/>
    <w:rsid w:val="00905289"/>
    <w:rsid w:val="009052F2"/>
    <w:rsid w:val="009056F8"/>
    <w:rsid w:val="009057B7"/>
    <w:rsid w:val="00905EBF"/>
    <w:rsid w:val="0090631F"/>
    <w:rsid w:val="009076A6"/>
    <w:rsid w:val="00907C14"/>
    <w:rsid w:val="009106C6"/>
    <w:rsid w:val="00910927"/>
    <w:rsid w:val="00910A2F"/>
    <w:rsid w:val="00910B1A"/>
    <w:rsid w:val="00910C09"/>
    <w:rsid w:val="00910F6B"/>
    <w:rsid w:val="0091124E"/>
    <w:rsid w:val="009116D2"/>
    <w:rsid w:val="00911BCC"/>
    <w:rsid w:val="00911C30"/>
    <w:rsid w:val="00911EA8"/>
    <w:rsid w:val="0091336B"/>
    <w:rsid w:val="00914375"/>
    <w:rsid w:val="00914FE7"/>
    <w:rsid w:val="00915F07"/>
    <w:rsid w:val="00916073"/>
    <w:rsid w:val="00916092"/>
    <w:rsid w:val="00916139"/>
    <w:rsid w:val="00916531"/>
    <w:rsid w:val="009166F5"/>
    <w:rsid w:val="00916714"/>
    <w:rsid w:val="0091722D"/>
    <w:rsid w:val="00917913"/>
    <w:rsid w:val="00920375"/>
    <w:rsid w:val="009207FB"/>
    <w:rsid w:val="00920E10"/>
    <w:rsid w:val="0092104B"/>
    <w:rsid w:val="00921E69"/>
    <w:rsid w:val="0092310A"/>
    <w:rsid w:val="0092357C"/>
    <w:rsid w:val="00923B4E"/>
    <w:rsid w:val="009241EF"/>
    <w:rsid w:val="00925AE1"/>
    <w:rsid w:val="00925D01"/>
    <w:rsid w:val="00926CAE"/>
    <w:rsid w:val="00927E9B"/>
    <w:rsid w:val="00927F22"/>
    <w:rsid w:val="0093160B"/>
    <w:rsid w:val="00932605"/>
    <w:rsid w:val="00933191"/>
    <w:rsid w:val="009335DA"/>
    <w:rsid w:val="00933B4C"/>
    <w:rsid w:val="0093470F"/>
    <w:rsid w:val="009349DC"/>
    <w:rsid w:val="00934B01"/>
    <w:rsid w:val="00934FCE"/>
    <w:rsid w:val="0093553F"/>
    <w:rsid w:val="009357D4"/>
    <w:rsid w:val="00935C74"/>
    <w:rsid w:val="00935E00"/>
    <w:rsid w:val="009365BF"/>
    <w:rsid w:val="00936EF2"/>
    <w:rsid w:val="0093737B"/>
    <w:rsid w:val="0093793D"/>
    <w:rsid w:val="00937AC6"/>
    <w:rsid w:val="009402C1"/>
    <w:rsid w:val="009407E3"/>
    <w:rsid w:val="00940FD2"/>
    <w:rsid w:val="00941560"/>
    <w:rsid w:val="00941781"/>
    <w:rsid w:val="00941DE5"/>
    <w:rsid w:val="009424F2"/>
    <w:rsid w:val="00942BF1"/>
    <w:rsid w:val="00943034"/>
    <w:rsid w:val="00943573"/>
    <w:rsid w:val="00943B18"/>
    <w:rsid w:val="00943F88"/>
    <w:rsid w:val="00944014"/>
    <w:rsid w:val="00945B23"/>
    <w:rsid w:val="00945BB4"/>
    <w:rsid w:val="00945C03"/>
    <w:rsid w:val="009460F9"/>
    <w:rsid w:val="009463C5"/>
    <w:rsid w:val="009465C2"/>
    <w:rsid w:val="009466BB"/>
    <w:rsid w:val="00947A54"/>
    <w:rsid w:val="00950565"/>
    <w:rsid w:val="00950C36"/>
    <w:rsid w:val="00951C16"/>
    <w:rsid w:val="009520ED"/>
    <w:rsid w:val="0095321D"/>
    <w:rsid w:val="00953341"/>
    <w:rsid w:val="0095372D"/>
    <w:rsid w:val="0095395C"/>
    <w:rsid w:val="00953AA8"/>
    <w:rsid w:val="00954975"/>
    <w:rsid w:val="00954B9F"/>
    <w:rsid w:val="00954EDD"/>
    <w:rsid w:val="00954FFF"/>
    <w:rsid w:val="00955B02"/>
    <w:rsid w:val="009561EC"/>
    <w:rsid w:val="009565AD"/>
    <w:rsid w:val="009566D4"/>
    <w:rsid w:val="00956838"/>
    <w:rsid w:val="009569C2"/>
    <w:rsid w:val="00956CC3"/>
    <w:rsid w:val="00956D98"/>
    <w:rsid w:val="00956F75"/>
    <w:rsid w:val="009571E3"/>
    <w:rsid w:val="0095754A"/>
    <w:rsid w:val="00957621"/>
    <w:rsid w:val="0095769D"/>
    <w:rsid w:val="00957B26"/>
    <w:rsid w:val="00957BC9"/>
    <w:rsid w:val="00957F4C"/>
    <w:rsid w:val="00957F65"/>
    <w:rsid w:val="00960176"/>
    <w:rsid w:val="009601AC"/>
    <w:rsid w:val="0096182E"/>
    <w:rsid w:val="00961933"/>
    <w:rsid w:val="0096231A"/>
    <w:rsid w:val="00962AA4"/>
    <w:rsid w:val="00963A71"/>
    <w:rsid w:val="00963A87"/>
    <w:rsid w:val="00963BF6"/>
    <w:rsid w:val="009642DB"/>
    <w:rsid w:val="00965248"/>
    <w:rsid w:val="00965A67"/>
    <w:rsid w:val="00965B0F"/>
    <w:rsid w:val="00965CB8"/>
    <w:rsid w:val="009661B8"/>
    <w:rsid w:val="00966305"/>
    <w:rsid w:val="00967259"/>
    <w:rsid w:val="0096793F"/>
    <w:rsid w:val="009679BC"/>
    <w:rsid w:val="009679FB"/>
    <w:rsid w:val="00967C12"/>
    <w:rsid w:val="0097038B"/>
    <w:rsid w:val="00970527"/>
    <w:rsid w:val="0097103F"/>
    <w:rsid w:val="00971408"/>
    <w:rsid w:val="009716B3"/>
    <w:rsid w:val="00971E1C"/>
    <w:rsid w:val="00971FB6"/>
    <w:rsid w:val="00972808"/>
    <w:rsid w:val="00972D33"/>
    <w:rsid w:val="00972D66"/>
    <w:rsid w:val="0097318D"/>
    <w:rsid w:val="00973E76"/>
    <w:rsid w:val="00974AEF"/>
    <w:rsid w:val="00974CBE"/>
    <w:rsid w:val="0097593F"/>
    <w:rsid w:val="009759DE"/>
    <w:rsid w:val="00975C76"/>
    <w:rsid w:val="009764DD"/>
    <w:rsid w:val="0097700C"/>
    <w:rsid w:val="00977070"/>
    <w:rsid w:val="00977DAF"/>
    <w:rsid w:val="00980253"/>
    <w:rsid w:val="00981411"/>
    <w:rsid w:val="00982C26"/>
    <w:rsid w:val="00982F7B"/>
    <w:rsid w:val="00983DF2"/>
    <w:rsid w:val="00984304"/>
    <w:rsid w:val="0098433E"/>
    <w:rsid w:val="00984CE7"/>
    <w:rsid w:val="00984F5F"/>
    <w:rsid w:val="00985D74"/>
    <w:rsid w:val="00985E75"/>
    <w:rsid w:val="0098665C"/>
    <w:rsid w:val="00987878"/>
    <w:rsid w:val="0098793D"/>
    <w:rsid w:val="00987980"/>
    <w:rsid w:val="00987BB9"/>
    <w:rsid w:val="009918AF"/>
    <w:rsid w:val="00991F1F"/>
    <w:rsid w:val="009922E1"/>
    <w:rsid w:val="00992370"/>
    <w:rsid w:val="009924DE"/>
    <w:rsid w:val="009925DD"/>
    <w:rsid w:val="00992EF0"/>
    <w:rsid w:val="0099335E"/>
    <w:rsid w:val="00994397"/>
    <w:rsid w:val="009944F9"/>
    <w:rsid w:val="00994861"/>
    <w:rsid w:val="00994C07"/>
    <w:rsid w:val="00994D7F"/>
    <w:rsid w:val="00995200"/>
    <w:rsid w:val="00995D5F"/>
    <w:rsid w:val="00995D7A"/>
    <w:rsid w:val="00995DAD"/>
    <w:rsid w:val="00995F9A"/>
    <w:rsid w:val="00996086"/>
    <w:rsid w:val="00996431"/>
    <w:rsid w:val="00996664"/>
    <w:rsid w:val="00996773"/>
    <w:rsid w:val="0099717C"/>
    <w:rsid w:val="0099745D"/>
    <w:rsid w:val="0099749C"/>
    <w:rsid w:val="00997B49"/>
    <w:rsid w:val="00997DB7"/>
    <w:rsid w:val="00997EAD"/>
    <w:rsid w:val="009A0114"/>
    <w:rsid w:val="009A0695"/>
    <w:rsid w:val="009A0C76"/>
    <w:rsid w:val="009A0E6C"/>
    <w:rsid w:val="009A11FD"/>
    <w:rsid w:val="009A13EC"/>
    <w:rsid w:val="009A1649"/>
    <w:rsid w:val="009A1690"/>
    <w:rsid w:val="009A1737"/>
    <w:rsid w:val="009A2449"/>
    <w:rsid w:val="009A26AD"/>
    <w:rsid w:val="009A2AB7"/>
    <w:rsid w:val="009A2ED2"/>
    <w:rsid w:val="009A33A9"/>
    <w:rsid w:val="009A35D9"/>
    <w:rsid w:val="009A3824"/>
    <w:rsid w:val="009A39D3"/>
    <w:rsid w:val="009A3BA1"/>
    <w:rsid w:val="009A4A2C"/>
    <w:rsid w:val="009A4C3F"/>
    <w:rsid w:val="009A5907"/>
    <w:rsid w:val="009A5F6E"/>
    <w:rsid w:val="009A64F2"/>
    <w:rsid w:val="009A7011"/>
    <w:rsid w:val="009A7375"/>
    <w:rsid w:val="009A7411"/>
    <w:rsid w:val="009A7905"/>
    <w:rsid w:val="009A79F4"/>
    <w:rsid w:val="009A7C47"/>
    <w:rsid w:val="009B04BB"/>
    <w:rsid w:val="009B1473"/>
    <w:rsid w:val="009B18D3"/>
    <w:rsid w:val="009B1A65"/>
    <w:rsid w:val="009B1CBD"/>
    <w:rsid w:val="009B385F"/>
    <w:rsid w:val="009B4539"/>
    <w:rsid w:val="009B479C"/>
    <w:rsid w:val="009B4E7C"/>
    <w:rsid w:val="009B527E"/>
    <w:rsid w:val="009B559F"/>
    <w:rsid w:val="009B582A"/>
    <w:rsid w:val="009B664C"/>
    <w:rsid w:val="009B67AF"/>
    <w:rsid w:val="009B67B1"/>
    <w:rsid w:val="009B6FA7"/>
    <w:rsid w:val="009B7362"/>
    <w:rsid w:val="009B74F1"/>
    <w:rsid w:val="009B75F8"/>
    <w:rsid w:val="009B7A4B"/>
    <w:rsid w:val="009B7BDB"/>
    <w:rsid w:val="009C0263"/>
    <w:rsid w:val="009C0443"/>
    <w:rsid w:val="009C04C6"/>
    <w:rsid w:val="009C0B6E"/>
    <w:rsid w:val="009C250C"/>
    <w:rsid w:val="009C2CBC"/>
    <w:rsid w:val="009C2F22"/>
    <w:rsid w:val="009C3918"/>
    <w:rsid w:val="009C3A5E"/>
    <w:rsid w:val="009C4067"/>
    <w:rsid w:val="009C41B2"/>
    <w:rsid w:val="009C433D"/>
    <w:rsid w:val="009C4549"/>
    <w:rsid w:val="009C49FE"/>
    <w:rsid w:val="009C57B9"/>
    <w:rsid w:val="009C5A65"/>
    <w:rsid w:val="009C5AD7"/>
    <w:rsid w:val="009C620B"/>
    <w:rsid w:val="009C626F"/>
    <w:rsid w:val="009C72B1"/>
    <w:rsid w:val="009D01F4"/>
    <w:rsid w:val="009D0B98"/>
    <w:rsid w:val="009D0C4B"/>
    <w:rsid w:val="009D0DCB"/>
    <w:rsid w:val="009D0EA4"/>
    <w:rsid w:val="009D1224"/>
    <w:rsid w:val="009D13B5"/>
    <w:rsid w:val="009D1D96"/>
    <w:rsid w:val="009D2BE3"/>
    <w:rsid w:val="009D2BF2"/>
    <w:rsid w:val="009D2C8E"/>
    <w:rsid w:val="009D33A2"/>
    <w:rsid w:val="009D3DDE"/>
    <w:rsid w:val="009D468C"/>
    <w:rsid w:val="009D49F3"/>
    <w:rsid w:val="009D4A00"/>
    <w:rsid w:val="009D4A2F"/>
    <w:rsid w:val="009D4AEE"/>
    <w:rsid w:val="009D4CDB"/>
    <w:rsid w:val="009D54E4"/>
    <w:rsid w:val="009D64E4"/>
    <w:rsid w:val="009D659C"/>
    <w:rsid w:val="009D6D30"/>
    <w:rsid w:val="009D7051"/>
    <w:rsid w:val="009D72AC"/>
    <w:rsid w:val="009D756A"/>
    <w:rsid w:val="009D7D76"/>
    <w:rsid w:val="009D7E0D"/>
    <w:rsid w:val="009E0100"/>
    <w:rsid w:val="009E07C6"/>
    <w:rsid w:val="009E09C5"/>
    <w:rsid w:val="009E0C21"/>
    <w:rsid w:val="009E0F4E"/>
    <w:rsid w:val="009E1524"/>
    <w:rsid w:val="009E1A0F"/>
    <w:rsid w:val="009E2C29"/>
    <w:rsid w:val="009E346C"/>
    <w:rsid w:val="009E3736"/>
    <w:rsid w:val="009E425E"/>
    <w:rsid w:val="009E44EF"/>
    <w:rsid w:val="009E45E1"/>
    <w:rsid w:val="009E45F2"/>
    <w:rsid w:val="009E482D"/>
    <w:rsid w:val="009E4D37"/>
    <w:rsid w:val="009E5429"/>
    <w:rsid w:val="009E6018"/>
    <w:rsid w:val="009E62DE"/>
    <w:rsid w:val="009E659B"/>
    <w:rsid w:val="009E74E7"/>
    <w:rsid w:val="009E7AF5"/>
    <w:rsid w:val="009F033B"/>
    <w:rsid w:val="009F03CF"/>
    <w:rsid w:val="009F073A"/>
    <w:rsid w:val="009F098E"/>
    <w:rsid w:val="009F1022"/>
    <w:rsid w:val="009F1117"/>
    <w:rsid w:val="009F180B"/>
    <w:rsid w:val="009F1A19"/>
    <w:rsid w:val="009F20FF"/>
    <w:rsid w:val="009F23EC"/>
    <w:rsid w:val="009F25F6"/>
    <w:rsid w:val="009F290C"/>
    <w:rsid w:val="009F2D6B"/>
    <w:rsid w:val="009F30B5"/>
    <w:rsid w:val="009F30FF"/>
    <w:rsid w:val="009F3298"/>
    <w:rsid w:val="009F4014"/>
    <w:rsid w:val="009F41A3"/>
    <w:rsid w:val="009F436C"/>
    <w:rsid w:val="009F4F01"/>
    <w:rsid w:val="009F5162"/>
    <w:rsid w:val="009F551D"/>
    <w:rsid w:val="009F6359"/>
    <w:rsid w:val="009F65DA"/>
    <w:rsid w:val="009F67A0"/>
    <w:rsid w:val="009F6869"/>
    <w:rsid w:val="009F7F3F"/>
    <w:rsid w:val="00A00933"/>
    <w:rsid w:val="00A01025"/>
    <w:rsid w:val="00A0128C"/>
    <w:rsid w:val="00A01418"/>
    <w:rsid w:val="00A017A7"/>
    <w:rsid w:val="00A02B4C"/>
    <w:rsid w:val="00A02FC1"/>
    <w:rsid w:val="00A035E4"/>
    <w:rsid w:val="00A03936"/>
    <w:rsid w:val="00A03A4B"/>
    <w:rsid w:val="00A03B0E"/>
    <w:rsid w:val="00A03E0A"/>
    <w:rsid w:val="00A041BB"/>
    <w:rsid w:val="00A04625"/>
    <w:rsid w:val="00A04AE4"/>
    <w:rsid w:val="00A04DEB"/>
    <w:rsid w:val="00A04EA5"/>
    <w:rsid w:val="00A04F43"/>
    <w:rsid w:val="00A05656"/>
    <w:rsid w:val="00A05759"/>
    <w:rsid w:val="00A05D58"/>
    <w:rsid w:val="00A06479"/>
    <w:rsid w:val="00A0650B"/>
    <w:rsid w:val="00A066BE"/>
    <w:rsid w:val="00A067F1"/>
    <w:rsid w:val="00A06BB4"/>
    <w:rsid w:val="00A06BE0"/>
    <w:rsid w:val="00A06BE4"/>
    <w:rsid w:val="00A1011F"/>
    <w:rsid w:val="00A1064F"/>
    <w:rsid w:val="00A10E7C"/>
    <w:rsid w:val="00A1151C"/>
    <w:rsid w:val="00A118B8"/>
    <w:rsid w:val="00A1242D"/>
    <w:rsid w:val="00A124E5"/>
    <w:rsid w:val="00A12A9D"/>
    <w:rsid w:val="00A12DF7"/>
    <w:rsid w:val="00A13962"/>
    <w:rsid w:val="00A13ACC"/>
    <w:rsid w:val="00A13DAF"/>
    <w:rsid w:val="00A14006"/>
    <w:rsid w:val="00A1434C"/>
    <w:rsid w:val="00A143CE"/>
    <w:rsid w:val="00A1584B"/>
    <w:rsid w:val="00A15928"/>
    <w:rsid w:val="00A159DD"/>
    <w:rsid w:val="00A162D9"/>
    <w:rsid w:val="00A16E37"/>
    <w:rsid w:val="00A173B4"/>
    <w:rsid w:val="00A17643"/>
    <w:rsid w:val="00A212B9"/>
    <w:rsid w:val="00A21600"/>
    <w:rsid w:val="00A225F3"/>
    <w:rsid w:val="00A227E5"/>
    <w:rsid w:val="00A2314A"/>
    <w:rsid w:val="00A2470C"/>
    <w:rsid w:val="00A25811"/>
    <w:rsid w:val="00A2642B"/>
    <w:rsid w:val="00A264F1"/>
    <w:rsid w:val="00A26A0A"/>
    <w:rsid w:val="00A26AD0"/>
    <w:rsid w:val="00A26B42"/>
    <w:rsid w:val="00A27226"/>
    <w:rsid w:val="00A27354"/>
    <w:rsid w:val="00A277B2"/>
    <w:rsid w:val="00A3032E"/>
    <w:rsid w:val="00A306E9"/>
    <w:rsid w:val="00A30EA8"/>
    <w:rsid w:val="00A310BB"/>
    <w:rsid w:val="00A3133D"/>
    <w:rsid w:val="00A31D83"/>
    <w:rsid w:val="00A31E07"/>
    <w:rsid w:val="00A323B5"/>
    <w:rsid w:val="00A3257F"/>
    <w:rsid w:val="00A327CD"/>
    <w:rsid w:val="00A32994"/>
    <w:rsid w:val="00A32BC5"/>
    <w:rsid w:val="00A3302A"/>
    <w:rsid w:val="00A34564"/>
    <w:rsid w:val="00A3465F"/>
    <w:rsid w:val="00A34852"/>
    <w:rsid w:val="00A34884"/>
    <w:rsid w:val="00A34AFF"/>
    <w:rsid w:val="00A34D0E"/>
    <w:rsid w:val="00A34E33"/>
    <w:rsid w:val="00A34E93"/>
    <w:rsid w:val="00A35D4A"/>
    <w:rsid w:val="00A35D98"/>
    <w:rsid w:val="00A35FD6"/>
    <w:rsid w:val="00A37E9A"/>
    <w:rsid w:val="00A37EA3"/>
    <w:rsid w:val="00A407D9"/>
    <w:rsid w:val="00A409D2"/>
    <w:rsid w:val="00A40DEE"/>
    <w:rsid w:val="00A41120"/>
    <w:rsid w:val="00A419DC"/>
    <w:rsid w:val="00A41C8E"/>
    <w:rsid w:val="00A422DE"/>
    <w:rsid w:val="00A4243A"/>
    <w:rsid w:val="00A42604"/>
    <w:rsid w:val="00A42F55"/>
    <w:rsid w:val="00A43375"/>
    <w:rsid w:val="00A43975"/>
    <w:rsid w:val="00A44A8B"/>
    <w:rsid w:val="00A44B4F"/>
    <w:rsid w:val="00A44D37"/>
    <w:rsid w:val="00A44D64"/>
    <w:rsid w:val="00A45719"/>
    <w:rsid w:val="00A45B37"/>
    <w:rsid w:val="00A45D5D"/>
    <w:rsid w:val="00A45E3D"/>
    <w:rsid w:val="00A45E81"/>
    <w:rsid w:val="00A45E93"/>
    <w:rsid w:val="00A46431"/>
    <w:rsid w:val="00A46C76"/>
    <w:rsid w:val="00A471EA"/>
    <w:rsid w:val="00A47673"/>
    <w:rsid w:val="00A47675"/>
    <w:rsid w:val="00A47727"/>
    <w:rsid w:val="00A502F5"/>
    <w:rsid w:val="00A508C1"/>
    <w:rsid w:val="00A50E54"/>
    <w:rsid w:val="00A50EB0"/>
    <w:rsid w:val="00A5100C"/>
    <w:rsid w:val="00A5113E"/>
    <w:rsid w:val="00A51428"/>
    <w:rsid w:val="00A517D3"/>
    <w:rsid w:val="00A5198F"/>
    <w:rsid w:val="00A51D18"/>
    <w:rsid w:val="00A51E36"/>
    <w:rsid w:val="00A5255A"/>
    <w:rsid w:val="00A52C4B"/>
    <w:rsid w:val="00A530C1"/>
    <w:rsid w:val="00A55283"/>
    <w:rsid w:val="00A5560B"/>
    <w:rsid w:val="00A557A3"/>
    <w:rsid w:val="00A55F13"/>
    <w:rsid w:val="00A56376"/>
    <w:rsid w:val="00A564D1"/>
    <w:rsid w:val="00A56601"/>
    <w:rsid w:val="00A56658"/>
    <w:rsid w:val="00A566CE"/>
    <w:rsid w:val="00A56ED8"/>
    <w:rsid w:val="00A57948"/>
    <w:rsid w:val="00A579B4"/>
    <w:rsid w:val="00A60067"/>
    <w:rsid w:val="00A605A5"/>
    <w:rsid w:val="00A60675"/>
    <w:rsid w:val="00A60AEF"/>
    <w:rsid w:val="00A612A4"/>
    <w:rsid w:val="00A61DB6"/>
    <w:rsid w:val="00A62826"/>
    <w:rsid w:val="00A62DDF"/>
    <w:rsid w:val="00A63270"/>
    <w:rsid w:val="00A63C36"/>
    <w:rsid w:val="00A63E99"/>
    <w:rsid w:val="00A640D3"/>
    <w:rsid w:val="00A64A37"/>
    <w:rsid w:val="00A652E8"/>
    <w:rsid w:val="00A65D5D"/>
    <w:rsid w:val="00A66403"/>
    <w:rsid w:val="00A66822"/>
    <w:rsid w:val="00A66D1E"/>
    <w:rsid w:val="00A66D3C"/>
    <w:rsid w:val="00A67462"/>
    <w:rsid w:val="00A70C16"/>
    <w:rsid w:val="00A70C47"/>
    <w:rsid w:val="00A70DAC"/>
    <w:rsid w:val="00A71099"/>
    <w:rsid w:val="00A7110A"/>
    <w:rsid w:val="00A71D39"/>
    <w:rsid w:val="00A71DEF"/>
    <w:rsid w:val="00A7208A"/>
    <w:rsid w:val="00A72291"/>
    <w:rsid w:val="00A72F5D"/>
    <w:rsid w:val="00A730D0"/>
    <w:rsid w:val="00A73A3F"/>
    <w:rsid w:val="00A73A98"/>
    <w:rsid w:val="00A73AB9"/>
    <w:rsid w:val="00A743A4"/>
    <w:rsid w:val="00A7449C"/>
    <w:rsid w:val="00A74E77"/>
    <w:rsid w:val="00A7661F"/>
    <w:rsid w:val="00A80121"/>
    <w:rsid w:val="00A806B4"/>
    <w:rsid w:val="00A80AD5"/>
    <w:rsid w:val="00A80B28"/>
    <w:rsid w:val="00A80B5A"/>
    <w:rsid w:val="00A80D5D"/>
    <w:rsid w:val="00A80F14"/>
    <w:rsid w:val="00A819FD"/>
    <w:rsid w:val="00A81A00"/>
    <w:rsid w:val="00A82926"/>
    <w:rsid w:val="00A82C58"/>
    <w:rsid w:val="00A83435"/>
    <w:rsid w:val="00A83610"/>
    <w:rsid w:val="00A837D0"/>
    <w:rsid w:val="00A8393E"/>
    <w:rsid w:val="00A853C1"/>
    <w:rsid w:val="00A854A6"/>
    <w:rsid w:val="00A857E4"/>
    <w:rsid w:val="00A85F08"/>
    <w:rsid w:val="00A85FDB"/>
    <w:rsid w:val="00A865D9"/>
    <w:rsid w:val="00A877C3"/>
    <w:rsid w:val="00A905FA"/>
    <w:rsid w:val="00A9145F"/>
    <w:rsid w:val="00A91D5D"/>
    <w:rsid w:val="00A92661"/>
    <w:rsid w:val="00A92A20"/>
    <w:rsid w:val="00A92D37"/>
    <w:rsid w:val="00A938D3"/>
    <w:rsid w:val="00A93C88"/>
    <w:rsid w:val="00A9449E"/>
    <w:rsid w:val="00A95531"/>
    <w:rsid w:val="00A96E33"/>
    <w:rsid w:val="00A9737E"/>
    <w:rsid w:val="00A978E0"/>
    <w:rsid w:val="00A97D11"/>
    <w:rsid w:val="00A97D54"/>
    <w:rsid w:val="00AA01D3"/>
    <w:rsid w:val="00AA0ACB"/>
    <w:rsid w:val="00AA10C5"/>
    <w:rsid w:val="00AA140D"/>
    <w:rsid w:val="00AA1FF5"/>
    <w:rsid w:val="00AA2118"/>
    <w:rsid w:val="00AA343D"/>
    <w:rsid w:val="00AA3474"/>
    <w:rsid w:val="00AA360F"/>
    <w:rsid w:val="00AA3772"/>
    <w:rsid w:val="00AA40F6"/>
    <w:rsid w:val="00AA47EF"/>
    <w:rsid w:val="00AA4C87"/>
    <w:rsid w:val="00AA4CDC"/>
    <w:rsid w:val="00AA601D"/>
    <w:rsid w:val="00AA62EC"/>
    <w:rsid w:val="00AA704E"/>
    <w:rsid w:val="00AA72D8"/>
    <w:rsid w:val="00AA7914"/>
    <w:rsid w:val="00AB01FC"/>
    <w:rsid w:val="00AB0346"/>
    <w:rsid w:val="00AB064F"/>
    <w:rsid w:val="00AB0A8B"/>
    <w:rsid w:val="00AB11D0"/>
    <w:rsid w:val="00AB18CB"/>
    <w:rsid w:val="00AB2F3D"/>
    <w:rsid w:val="00AB2FA8"/>
    <w:rsid w:val="00AB42DE"/>
    <w:rsid w:val="00AB4505"/>
    <w:rsid w:val="00AB45EF"/>
    <w:rsid w:val="00AB49D4"/>
    <w:rsid w:val="00AB4DD1"/>
    <w:rsid w:val="00AB4E08"/>
    <w:rsid w:val="00AB4F3B"/>
    <w:rsid w:val="00AB5078"/>
    <w:rsid w:val="00AB6B0A"/>
    <w:rsid w:val="00AB6CD8"/>
    <w:rsid w:val="00AC0357"/>
    <w:rsid w:val="00AC06B4"/>
    <w:rsid w:val="00AC06F7"/>
    <w:rsid w:val="00AC13AB"/>
    <w:rsid w:val="00AC14AB"/>
    <w:rsid w:val="00AC1A25"/>
    <w:rsid w:val="00AC23D2"/>
    <w:rsid w:val="00AC2980"/>
    <w:rsid w:val="00AC2C96"/>
    <w:rsid w:val="00AC3B06"/>
    <w:rsid w:val="00AC3FD5"/>
    <w:rsid w:val="00AC4360"/>
    <w:rsid w:val="00AC45E0"/>
    <w:rsid w:val="00AC48F4"/>
    <w:rsid w:val="00AC50F6"/>
    <w:rsid w:val="00AC53EA"/>
    <w:rsid w:val="00AC5A3B"/>
    <w:rsid w:val="00AC644C"/>
    <w:rsid w:val="00AC6947"/>
    <w:rsid w:val="00AC6ABA"/>
    <w:rsid w:val="00AC6B28"/>
    <w:rsid w:val="00AC7B31"/>
    <w:rsid w:val="00AD0EBD"/>
    <w:rsid w:val="00AD1CA4"/>
    <w:rsid w:val="00AD291A"/>
    <w:rsid w:val="00AD3075"/>
    <w:rsid w:val="00AD316C"/>
    <w:rsid w:val="00AD3929"/>
    <w:rsid w:val="00AD3DA0"/>
    <w:rsid w:val="00AD4476"/>
    <w:rsid w:val="00AD4C9D"/>
    <w:rsid w:val="00AD5011"/>
    <w:rsid w:val="00AD5747"/>
    <w:rsid w:val="00AD5879"/>
    <w:rsid w:val="00AD6220"/>
    <w:rsid w:val="00AD6681"/>
    <w:rsid w:val="00AD6880"/>
    <w:rsid w:val="00AE050A"/>
    <w:rsid w:val="00AE0B34"/>
    <w:rsid w:val="00AE0F29"/>
    <w:rsid w:val="00AE0FD9"/>
    <w:rsid w:val="00AE10E5"/>
    <w:rsid w:val="00AE12F6"/>
    <w:rsid w:val="00AE26AD"/>
    <w:rsid w:val="00AE3536"/>
    <w:rsid w:val="00AE3CC3"/>
    <w:rsid w:val="00AE3E00"/>
    <w:rsid w:val="00AE4091"/>
    <w:rsid w:val="00AE436D"/>
    <w:rsid w:val="00AE45FC"/>
    <w:rsid w:val="00AE4901"/>
    <w:rsid w:val="00AE5019"/>
    <w:rsid w:val="00AE52CA"/>
    <w:rsid w:val="00AE60EE"/>
    <w:rsid w:val="00AE769E"/>
    <w:rsid w:val="00AE7701"/>
    <w:rsid w:val="00AE79BF"/>
    <w:rsid w:val="00AE7E95"/>
    <w:rsid w:val="00AE7F20"/>
    <w:rsid w:val="00AF114B"/>
    <w:rsid w:val="00AF115C"/>
    <w:rsid w:val="00AF1D0F"/>
    <w:rsid w:val="00AF228C"/>
    <w:rsid w:val="00AF235D"/>
    <w:rsid w:val="00AF2A2E"/>
    <w:rsid w:val="00AF2D19"/>
    <w:rsid w:val="00AF2D4D"/>
    <w:rsid w:val="00AF32ED"/>
    <w:rsid w:val="00AF3335"/>
    <w:rsid w:val="00AF3398"/>
    <w:rsid w:val="00AF33A0"/>
    <w:rsid w:val="00AF3A87"/>
    <w:rsid w:val="00AF3B19"/>
    <w:rsid w:val="00AF3C91"/>
    <w:rsid w:val="00AF3DB0"/>
    <w:rsid w:val="00AF3E5F"/>
    <w:rsid w:val="00AF40B4"/>
    <w:rsid w:val="00AF47A9"/>
    <w:rsid w:val="00AF47F2"/>
    <w:rsid w:val="00AF4A80"/>
    <w:rsid w:val="00AF54D3"/>
    <w:rsid w:val="00AF5979"/>
    <w:rsid w:val="00AF5A33"/>
    <w:rsid w:val="00AF6B1E"/>
    <w:rsid w:val="00AF7173"/>
    <w:rsid w:val="00AF728A"/>
    <w:rsid w:val="00AF7AF9"/>
    <w:rsid w:val="00B002B8"/>
    <w:rsid w:val="00B00FEB"/>
    <w:rsid w:val="00B0123D"/>
    <w:rsid w:val="00B024E3"/>
    <w:rsid w:val="00B02958"/>
    <w:rsid w:val="00B02CA4"/>
    <w:rsid w:val="00B02FA0"/>
    <w:rsid w:val="00B032A6"/>
    <w:rsid w:val="00B03DD6"/>
    <w:rsid w:val="00B03F8E"/>
    <w:rsid w:val="00B04770"/>
    <w:rsid w:val="00B04A3F"/>
    <w:rsid w:val="00B052EF"/>
    <w:rsid w:val="00B05DC4"/>
    <w:rsid w:val="00B061EC"/>
    <w:rsid w:val="00B0621A"/>
    <w:rsid w:val="00B06A7B"/>
    <w:rsid w:val="00B06EB7"/>
    <w:rsid w:val="00B07088"/>
    <w:rsid w:val="00B071A2"/>
    <w:rsid w:val="00B10273"/>
    <w:rsid w:val="00B107F1"/>
    <w:rsid w:val="00B10C1A"/>
    <w:rsid w:val="00B1102C"/>
    <w:rsid w:val="00B11928"/>
    <w:rsid w:val="00B12397"/>
    <w:rsid w:val="00B124FC"/>
    <w:rsid w:val="00B13075"/>
    <w:rsid w:val="00B130C5"/>
    <w:rsid w:val="00B133BD"/>
    <w:rsid w:val="00B1384B"/>
    <w:rsid w:val="00B13893"/>
    <w:rsid w:val="00B13DFB"/>
    <w:rsid w:val="00B145B1"/>
    <w:rsid w:val="00B1479C"/>
    <w:rsid w:val="00B149CC"/>
    <w:rsid w:val="00B150FA"/>
    <w:rsid w:val="00B158DE"/>
    <w:rsid w:val="00B15F76"/>
    <w:rsid w:val="00B16181"/>
    <w:rsid w:val="00B165C1"/>
    <w:rsid w:val="00B16CDB"/>
    <w:rsid w:val="00B178EB"/>
    <w:rsid w:val="00B17F53"/>
    <w:rsid w:val="00B20525"/>
    <w:rsid w:val="00B20D11"/>
    <w:rsid w:val="00B20F87"/>
    <w:rsid w:val="00B20FA7"/>
    <w:rsid w:val="00B21044"/>
    <w:rsid w:val="00B21811"/>
    <w:rsid w:val="00B21EEA"/>
    <w:rsid w:val="00B220B3"/>
    <w:rsid w:val="00B2229E"/>
    <w:rsid w:val="00B225A7"/>
    <w:rsid w:val="00B22653"/>
    <w:rsid w:val="00B2282F"/>
    <w:rsid w:val="00B23264"/>
    <w:rsid w:val="00B23EE0"/>
    <w:rsid w:val="00B24255"/>
    <w:rsid w:val="00B24550"/>
    <w:rsid w:val="00B249B6"/>
    <w:rsid w:val="00B24D00"/>
    <w:rsid w:val="00B25E47"/>
    <w:rsid w:val="00B26463"/>
    <w:rsid w:val="00B26528"/>
    <w:rsid w:val="00B26E5A"/>
    <w:rsid w:val="00B2704F"/>
    <w:rsid w:val="00B27748"/>
    <w:rsid w:val="00B300DB"/>
    <w:rsid w:val="00B30ED9"/>
    <w:rsid w:val="00B313F1"/>
    <w:rsid w:val="00B31B3F"/>
    <w:rsid w:val="00B31DB7"/>
    <w:rsid w:val="00B3200B"/>
    <w:rsid w:val="00B32558"/>
    <w:rsid w:val="00B325A1"/>
    <w:rsid w:val="00B32958"/>
    <w:rsid w:val="00B32B54"/>
    <w:rsid w:val="00B33121"/>
    <w:rsid w:val="00B3362A"/>
    <w:rsid w:val="00B33BD8"/>
    <w:rsid w:val="00B33C88"/>
    <w:rsid w:val="00B33E02"/>
    <w:rsid w:val="00B34FE4"/>
    <w:rsid w:val="00B3509F"/>
    <w:rsid w:val="00B357F7"/>
    <w:rsid w:val="00B36536"/>
    <w:rsid w:val="00B36865"/>
    <w:rsid w:val="00B36BC6"/>
    <w:rsid w:val="00B36F47"/>
    <w:rsid w:val="00B376DC"/>
    <w:rsid w:val="00B37AC6"/>
    <w:rsid w:val="00B37ADD"/>
    <w:rsid w:val="00B37D67"/>
    <w:rsid w:val="00B40E4E"/>
    <w:rsid w:val="00B411EF"/>
    <w:rsid w:val="00B4174C"/>
    <w:rsid w:val="00B41C4B"/>
    <w:rsid w:val="00B41F7D"/>
    <w:rsid w:val="00B43C03"/>
    <w:rsid w:val="00B44303"/>
    <w:rsid w:val="00B444BC"/>
    <w:rsid w:val="00B447E6"/>
    <w:rsid w:val="00B44D87"/>
    <w:rsid w:val="00B4552E"/>
    <w:rsid w:val="00B45567"/>
    <w:rsid w:val="00B45ABA"/>
    <w:rsid w:val="00B460EE"/>
    <w:rsid w:val="00B46BAB"/>
    <w:rsid w:val="00B4708D"/>
    <w:rsid w:val="00B4755D"/>
    <w:rsid w:val="00B50592"/>
    <w:rsid w:val="00B505FA"/>
    <w:rsid w:val="00B50C09"/>
    <w:rsid w:val="00B50C80"/>
    <w:rsid w:val="00B51C6D"/>
    <w:rsid w:val="00B53807"/>
    <w:rsid w:val="00B53EE2"/>
    <w:rsid w:val="00B5425F"/>
    <w:rsid w:val="00B54342"/>
    <w:rsid w:val="00B5472B"/>
    <w:rsid w:val="00B54B47"/>
    <w:rsid w:val="00B54C11"/>
    <w:rsid w:val="00B54F3A"/>
    <w:rsid w:val="00B55433"/>
    <w:rsid w:val="00B55EF4"/>
    <w:rsid w:val="00B56BA2"/>
    <w:rsid w:val="00B57FA8"/>
    <w:rsid w:val="00B6032D"/>
    <w:rsid w:val="00B611FC"/>
    <w:rsid w:val="00B61273"/>
    <w:rsid w:val="00B6137D"/>
    <w:rsid w:val="00B6191B"/>
    <w:rsid w:val="00B6231C"/>
    <w:rsid w:val="00B62E41"/>
    <w:rsid w:val="00B630FC"/>
    <w:rsid w:val="00B638BA"/>
    <w:rsid w:val="00B638E1"/>
    <w:rsid w:val="00B639F9"/>
    <w:rsid w:val="00B63AF1"/>
    <w:rsid w:val="00B63FB8"/>
    <w:rsid w:val="00B644D5"/>
    <w:rsid w:val="00B65074"/>
    <w:rsid w:val="00B65E75"/>
    <w:rsid w:val="00B65E8B"/>
    <w:rsid w:val="00B6638F"/>
    <w:rsid w:val="00B6682C"/>
    <w:rsid w:val="00B66E0E"/>
    <w:rsid w:val="00B6712E"/>
    <w:rsid w:val="00B67790"/>
    <w:rsid w:val="00B7004D"/>
    <w:rsid w:val="00B708A4"/>
    <w:rsid w:val="00B70979"/>
    <w:rsid w:val="00B70D0B"/>
    <w:rsid w:val="00B710A1"/>
    <w:rsid w:val="00B71D90"/>
    <w:rsid w:val="00B7297D"/>
    <w:rsid w:val="00B74033"/>
    <w:rsid w:val="00B7442B"/>
    <w:rsid w:val="00B7491A"/>
    <w:rsid w:val="00B7571F"/>
    <w:rsid w:val="00B759D0"/>
    <w:rsid w:val="00B76177"/>
    <w:rsid w:val="00B761D6"/>
    <w:rsid w:val="00B76A56"/>
    <w:rsid w:val="00B7775E"/>
    <w:rsid w:val="00B77D83"/>
    <w:rsid w:val="00B800D2"/>
    <w:rsid w:val="00B807A1"/>
    <w:rsid w:val="00B807AB"/>
    <w:rsid w:val="00B80907"/>
    <w:rsid w:val="00B81917"/>
    <w:rsid w:val="00B81F34"/>
    <w:rsid w:val="00B81F46"/>
    <w:rsid w:val="00B82253"/>
    <w:rsid w:val="00B822A9"/>
    <w:rsid w:val="00B8234A"/>
    <w:rsid w:val="00B82610"/>
    <w:rsid w:val="00B829DE"/>
    <w:rsid w:val="00B83E37"/>
    <w:rsid w:val="00B84078"/>
    <w:rsid w:val="00B84143"/>
    <w:rsid w:val="00B85168"/>
    <w:rsid w:val="00B85754"/>
    <w:rsid w:val="00B85A47"/>
    <w:rsid w:val="00B85E3A"/>
    <w:rsid w:val="00B85F98"/>
    <w:rsid w:val="00B87507"/>
    <w:rsid w:val="00B87A6C"/>
    <w:rsid w:val="00B9107A"/>
    <w:rsid w:val="00B91D78"/>
    <w:rsid w:val="00B92B27"/>
    <w:rsid w:val="00B92C23"/>
    <w:rsid w:val="00B92C42"/>
    <w:rsid w:val="00B92F13"/>
    <w:rsid w:val="00B93191"/>
    <w:rsid w:val="00B93394"/>
    <w:rsid w:val="00B93FF8"/>
    <w:rsid w:val="00B94574"/>
    <w:rsid w:val="00B947CC"/>
    <w:rsid w:val="00B948C2"/>
    <w:rsid w:val="00B94900"/>
    <w:rsid w:val="00B94F80"/>
    <w:rsid w:val="00B950D9"/>
    <w:rsid w:val="00B95C52"/>
    <w:rsid w:val="00B95F03"/>
    <w:rsid w:val="00BA0ACC"/>
    <w:rsid w:val="00BA14A6"/>
    <w:rsid w:val="00BA1527"/>
    <w:rsid w:val="00BA194D"/>
    <w:rsid w:val="00BA2109"/>
    <w:rsid w:val="00BA2B0C"/>
    <w:rsid w:val="00BA2B57"/>
    <w:rsid w:val="00BA2EBA"/>
    <w:rsid w:val="00BA3881"/>
    <w:rsid w:val="00BA46E3"/>
    <w:rsid w:val="00BA4B56"/>
    <w:rsid w:val="00BA534D"/>
    <w:rsid w:val="00BA546E"/>
    <w:rsid w:val="00BA5DDF"/>
    <w:rsid w:val="00BA6122"/>
    <w:rsid w:val="00BA6B09"/>
    <w:rsid w:val="00BA71F8"/>
    <w:rsid w:val="00BA7238"/>
    <w:rsid w:val="00BA762B"/>
    <w:rsid w:val="00BA76D1"/>
    <w:rsid w:val="00BA7921"/>
    <w:rsid w:val="00BB08A6"/>
    <w:rsid w:val="00BB0C1E"/>
    <w:rsid w:val="00BB12C8"/>
    <w:rsid w:val="00BB1410"/>
    <w:rsid w:val="00BB1B55"/>
    <w:rsid w:val="00BB1B6F"/>
    <w:rsid w:val="00BB1FFE"/>
    <w:rsid w:val="00BB2317"/>
    <w:rsid w:val="00BB2482"/>
    <w:rsid w:val="00BB3292"/>
    <w:rsid w:val="00BB34BC"/>
    <w:rsid w:val="00BB3723"/>
    <w:rsid w:val="00BB3785"/>
    <w:rsid w:val="00BB4784"/>
    <w:rsid w:val="00BB4A2F"/>
    <w:rsid w:val="00BB4CB4"/>
    <w:rsid w:val="00BB533B"/>
    <w:rsid w:val="00BB5B24"/>
    <w:rsid w:val="00BB6450"/>
    <w:rsid w:val="00BB699A"/>
    <w:rsid w:val="00BB6D5F"/>
    <w:rsid w:val="00BB7289"/>
    <w:rsid w:val="00BB7831"/>
    <w:rsid w:val="00BB7CE7"/>
    <w:rsid w:val="00BC0443"/>
    <w:rsid w:val="00BC08B5"/>
    <w:rsid w:val="00BC0A9F"/>
    <w:rsid w:val="00BC0DA0"/>
    <w:rsid w:val="00BC0F06"/>
    <w:rsid w:val="00BC1372"/>
    <w:rsid w:val="00BC1AA0"/>
    <w:rsid w:val="00BC1ECA"/>
    <w:rsid w:val="00BC2261"/>
    <w:rsid w:val="00BC2902"/>
    <w:rsid w:val="00BC2D2D"/>
    <w:rsid w:val="00BC2D38"/>
    <w:rsid w:val="00BC32F4"/>
    <w:rsid w:val="00BC34BB"/>
    <w:rsid w:val="00BC34D8"/>
    <w:rsid w:val="00BC35AA"/>
    <w:rsid w:val="00BC35BD"/>
    <w:rsid w:val="00BC35F9"/>
    <w:rsid w:val="00BC3930"/>
    <w:rsid w:val="00BC3E62"/>
    <w:rsid w:val="00BC40BF"/>
    <w:rsid w:val="00BC60F7"/>
    <w:rsid w:val="00BC61F0"/>
    <w:rsid w:val="00BC789A"/>
    <w:rsid w:val="00BC7B13"/>
    <w:rsid w:val="00BD03DD"/>
    <w:rsid w:val="00BD0550"/>
    <w:rsid w:val="00BD0706"/>
    <w:rsid w:val="00BD0779"/>
    <w:rsid w:val="00BD0934"/>
    <w:rsid w:val="00BD0D04"/>
    <w:rsid w:val="00BD116A"/>
    <w:rsid w:val="00BD1483"/>
    <w:rsid w:val="00BD21D3"/>
    <w:rsid w:val="00BD229B"/>
    <w:rsid w:val="00BD252E"/>
    <w:rsid w:val="00BD2BA4"/>
    <w:rsid w:val="00BD323F"/>
    <w:rsid w:val="00BD4298"/>
    <w:rsid w:val="00BD4C6B"/>
    <w:rsid w:val="00BD6267"/>
    <w:rsid w:val="00BD6931"/>
    <w:rsid w:val="00BD6CD6"/>
    <w:rsid w:val="00BD726B"/>
    <w:rsid w:val="00BD7893"/>
    <w:rsid w:val="00BD78C9"/>
    <w:rsid w:val="00BE018A"/>
    <w:rsid w:val="00BE01AB"/>
    <w:rsid w:val="00BE02A0"/>
    <w:rsid w:val="00BE0535"/>
    <w:rsid w:val="00BE0719"/>
    <w:rsid w:val="00BE0822"/>
    <w:rsid w:val="00BE0B2B"/>
    <w:rsid w:val="00BE0E6E"/>
    <w:rsid w:val="00BE19B9"/>
    <w:rsid w:val="00BE1C01"/>
    <w:rsid w:val="00BE23D9"/>
    <w:rsid w:val="00BE2528"/>
    <w:rsid w:val="00BE25FE"/>
    <w:rsid w:val="00BE3E7B"/>
    <w:rsid w:val="00BE55CF"/>
    <w:rsid w:val="00BE5EFA"/>
    <w:rsid w:val="00BE692C"/>
    <w:rsid w:val="00BE7CFE"/>
    <w:rsid w:val="00BF129F"/>
    <w:rsid w:val="00BF13DE"/>
    <w:rsid w:val="00BF21C6"/>
    <w:rsid w:val="00BF221C"/>
    <w:rsid w:val="00BF2222"/>
    <w:rsid w:val="00BF2834"/>
    <w:rsid w:val="00BF2984"/>
    <w:rsid w:val="00BF2C1A"/>
    <w:rsid w:val="00BF30DA"/>
    <w:rsid w:val="00BF3BF9"/>
    <w:rsid w:val="00BF3DB4"/>
    <w:rsid w:val="00BF4196"/>
    <w:rsid w:val="00BF457D"/>
    <w:rsid w:val="00BF4972"/>
    <w:rsid w:val="00BF4E72"/>
    <w:rsid w:val="00BF6487"/>
    <w:rsid w:val="00BF6726"/>
    <w:rsid w:val="00BF7266"/>
    <w:rsid w:val="00BF74C9"/>
    <w:rsid w:val="00BF7626"/>
    <w:rsid w:val="00BF780D"/>
    <w:rsid w:val="00BF7C5A"/>
    <w:rsid w:val="00C00495"/>
    <w:rsid w:val="00C00B37"/>
    <w:rsid w:val="00C00C45"/>
    <w:rsid w:val="00C0120B"/>
    <w:rsid w:val="00C01722"/>
    <w:rsid w:val="00C01957"/>
    <w:rsid w:val="00C01DE1"/>
    <w:rsid w:val="00C027AB"/>
    <w:rsid w:val="00C0288A"/>
    <w:rsid w:val="00C02922"/>
    <w:rsid w:val="00C02B41"/>
    <w:rsid w:val="00C02F7A"/>
    <w:rsid w:val="00C0350F"/>
    <w:rsid w:val="00C0407E"/>
    <w:rsid w:val="00C04935"/>
    <w:rsid w:val="00C053D8"/>
    <w:rsid w:val="00C0594E"/>
    <w:rsid w:val="00C0631D"/>
    <w:rsid w:val="00C069B1"/>
    <w:rsid w:val="00C07BA9"/>
    <w:rsid w:val="00C07D1E"/>
    <w:rsid w:val="00C100D2"/>
    <w:rsid w:val="00C10295"/>
    <w:rsid w:val="00C10489"/>
    <w:rsid w:val="00C1090F"/>
    <w:rsid w:val="00C10CD4"/>
    <w:rsid w:val="00C11078"/>
    <w:rsid w:val="00C115F3"/>
    <w:rsid w:val="00C1184C"/>
    <w:rsid w:val="00C12404"/>
    <w:rsid w:val="00C13B60"/>
    <w:rsid w:val="00C13BCE"/>
    <w:rsid w:val="00C14AF2"/>
    <w:rsid w:val="00C14CF2"/>
    <w:rsid w:val="00C15224"/>
    <w:rsid w:val="00C15640"/>
    <w:rsid w:val="00C16199"/>
    <w:rsid w:val="00C1624B"/>
    <w:rsid w:val="00C16396"/>
    <w:rsid w:val="00C16597"/>
    <w:rsid w:val="00C166EC"/>
    <w:rsid w:val="00C16D6F"/>
    <w:rsid w:val="00C1722B"/>
    <w:rsid w:val="00C173A1"/>
    <w:rsid w:val="00C1755A"/>
    <w:rsid w:val="00C179E0"/>
    <w:rsid w:val="00C20632"/>
    <w:rsid w:val="00C208E7"/>
    <w:rsid w:val="00C209E1"/>
    <w:rsid w:val="00C20D55"/>
    <w:rsid w:val="00C213ED"/>
    <w:rsid w:val="00C2159D"/>
    <w:rsid w:val="00C217B1"/>
    <w:rsid w:val="00C21948"/>
    <w:rsid w:val="00C220A6"/>
    <w:rsid w:val="00C22372"/>
    <w:rsid w:val="00C22BCE"/>
    <w:rsid w:val="00C22D8C"/>
    <w:rsid w:val="00C22D9D"/>
    <w:rsid w:val="00C2347F"/>
    <w:rsid w:val="00C23670"/>
    <w:rsid w:val="00C23C99"/>
    <w:rsid w:val="00C23DF2"/>
    <w:rsid w:val="00C24FE2"/>
    <w:rsid w:val="00C25061"/>
    <w:rsid w:val="00C25525"/>
    <w:rsid w:val="00C25601"/>
    <w:rsid w:val="00C257AD"/>
    <w:rsid w:val="00C269E7"/>
    <w:rsid w:val="00C26ABB"/>
    <w:rsid w:val="00C27773"/>
    <w:rsid w:val="00C278FF"/>
    <w:rsid w:val="00C27EBC"/>
    <w:rsid w:val="00C301BA"/>
    <w:rsid w:val="00C303CB"/>
    <w:rsid w:val="00C304B4"/>
    <w:rsid w:val="00C30A28"/>
    <w:rsid w:val="00C31F5B"/>
    <w:rsid w:val="00C32F4E"/>
    <w:rsid w:val="00C33233"/>
    <w:rsid w:val="00C33382"/>
    <w:rsid w:val="00C339C7"/>
    <w:rsid w:val="00C33C6C"/>
    <w:rsid w:val="00C33E1E"/>
    <w:rsid w:val="00C33FCE"/>
    <w:rsid w:val="00C34517"/>
    <w:rsid w:val="00C34699"/>
    <w:rsid w:val="00C3471A"/>
    <w:rsid w:val="00C34AD6"/>
    <w:rsid w:val="00C35173"/>
    <w:rsid w:val="00C3532D"/>
    <w:rsid w:val="00C353AB"/>
    <w:rsid w:val="00C35880"/>
    <w:rsid w:val="00C35F6B"/>
    <w:rsid w:val="00C3609B"/>
    <w:rsid w:val="00C362C2"/>
    <w:rsid w:val="00C36585"/>
    <w:rsid w:val="00C36687"/>
    <w:rsid w:val="00C37603"/>
    <w:rsid w:val="00C378F2"/>
    <w:rsid w:val="00C37CD7"/>
    <w:rsid w:val="00C37D75"/>
    <w:rsid w:val="00C37FD3"/>
    <w:rsid w:val="00C4087C"/>
    <w:rsid w:val="00C40999"/>
    <w:rsid w:val="00C41527"/>
    <w:rsid w:val="00C4175A"/>
    <w:rsid w:val="00C4185C"/>
    <w:rsid w:val="00C418E0"/>
    <w:rsid w:val="00C41956"/>
    <w:rsid w:val="00C422CE"/>
    <w:rsid w:val="00C42588"/>
    <w:rsid w:val="00C4278C"/>
    <w:rsid w:val="00C42A3A"/>
    <w:rsid w:val="00C4348D"/>
    <w:rsid w:val="00C43F08"/>
    <w:rsid w:val="00C44625"/>
    <w:rsid w:val="00C446DB"/>
    <w:rsid w:val="00C44A7F"/>
    <w:rsid w:val="00C454A3"/>
    <w:rsid w:val="00C457C8"/>
    <w:rsid w:val="00C4635E"/>
    <w:rsid w:val="00C463B1"/>
    <w:rsid w:val="00C46605"/>
    <w:rsid w:val="00C46AEE"/>
    <w:rsid w:val="00C46F1B"/>
    <w:rsid w:val="00C5030E"/>
    <w:rsid w:val="00C50A65"/>
    <w:rsid w:val="00C50A8F"/>
    <w:rsid w:val="00C51899"/>
    <w:rsid w:val="00C51AD5"/>
    <w:rsid w:val="00C51AD9"/>
    <w:rsid w:val="00C51C9D"/>
    <w:rsid w:val="00C51E71"/>
    <w:rsid w:val="00C52449"/>
    <w:rsid w:val="00C535A3"/>
    <w:rsid w:val="00C53627"/>
    <w:rsid w:val="00C537A9"/>
    <w:rsid w:val="00C53DD9"/>
    <w:rsid w:val="00C53EDA"/>
    <w:rsid w:val="00C53F30"/>
    <w:rsid w:val="00C54126"/>
    <w:rsid w:val="00C5439F"/>
    <w:rsid w:val="00C5462F"/>
    <w:rsid w:val="00C54770"/>
    <w:rsid w:val="00C55360"/>
    <w:rsid w:val="00C5547C"/>
    <w:rsid w:val="00C55CE2"/>
    <w:rsid w:val="00C55E7E"/>
    <w:rsid w:val="00C56735"/>
    <w:rsid w:val="00C56B7D"/>
    <w:rsid w:val="00C56ED3"/>
    <w:rsid w:val="00C577F6"/>
    <w:rsid w:val="00C57EF9"/>
    <w:rsid w:val="00C600C9"/>
    <w:rsid w:val="00C60945"/>
    <w:rsid w:val="00C60B6B"/>
    <w:rsid w:val="00C61AC0"/>
    <w:rsid w:val="00C61E00"/>
    <w:rsid w:val="00C6208E"/>
    <w:rsid w:val="00C62168"/>
    <w:rsid w:val="00C630B2"/>
    <w:rsid w:val="00C63AC9"/>
    <w:rsid w:val="00C63F05"/>
    <w:rsid w:val="00C652B2"/>
    <w:rsid w:val="00C65BDB"/>
    <w:rsid w:val="00C65BEE"/>
    <w:rsid w:val="00C663D3"/>
    <w:rsid w:val="00C6721D"/>
    <w:rsid w:val="00C677F7"/>
    <w:rsid w:val="00C679B4"/>
    <w:rsid w:val="00C7002D"/>
    <w:rsid w:val="00C707EE"/>
    <w:rsid w:val="00C713F1"/>
    <w:rsid w:val="00C71C4F"/>
    <w:rsid w:val="00C7241C"/>
    <w:rsid w:val="00C7299B"/>
    <w:rsid w:val="00C72A11"/>
    <w:rsid w:val="00C72A87"/>
    <w:rsid w:val="00C72A99"/>
    <w:rsid w:val="00C72E31"/>
    <w:rsid w:val="00C72FFA"/>
    <w:rsid w:val="00C73060"/>
    <w:rsid w:val="00C7366B"/>
    <w:rsid w:val="00C739C4"/>
    <w:rsid w:val="00C7476A"/>
    <w:rsid w:val="00C74C96"/>
    <w:rsid w:val="00C75065"/>
    <w:rsid w:val="00C75248"/>
    <w:rsid w:val="00C7562A"/>
    <w:rsid w:val="00C75C63"/>
    <w:rsid w:val="00C75C84"/>
    <w:rsid w:val="00C75D6B"/>
    <w:rsid w:val="00C773AC"/>
    <w:rsid w:val="00C77A6D"/>
    <w:rsid w:val="00C8055F"/>
    <w:rsid w:val="00C80612"/>
    <w:rsid w:val="00C80808"/>
    <w:rsid w:val="00C80CC0"/>
    <w:rsid w:val="00C80E72"/>
    <w:rsid w:val="00C81B33"/>
    <w:rsid w:val="00C81BE1"/>
    <w:rsid w:val="00C81C1C"/>
    <w:rsid w:val="00C81D3A"/>
    <w:rsid w:val="00C81EBD"/>
    <w:rsid w:val="00C81FEB"/>
    <w:rsid w:val="00C82C33"/>
    <w:rsid w:val="00C82D5D"/>
    <w:rsid w:val="00C83642"/>
    <w:rsid w:val="00C8375A"/>
    <w:rsid w:val="00C8375D"/>
    <w:rsid w:val="00C83794"/>
    <w:rsid w:val="00C84E93"/>
    <w:rsid w:val="00C85CBF"/>
    <w:rsid w:val="00C863DF"/>
    <w:rsid w:val="00C86887"/>
    <w:rsid w:val="00C87292"/>
    <w:rsid w:val="00C875BA"/>
    <w:rsid w:val="00C87774"/>
    <w:rsid w:val="00C87A54"/>
    <w:rsid w:val="00C87E7A"/>
    <w:rsid w:val="00C90666"/>
    <w:rsid w:val="00C91027"/>
    <w:rsid w:val="00C911A8"/>
    <w:rsid w:val="00C915D3"/>
    <w:rsid w:val="00C91ABE"/>
    <w:rsid w:val="00C926D2"/>
    <w:rsid w:val="00C934D9"/>
    <w:rsid w:val="00C93B2D"/>
    <w:rsid w:val="00C941BC"/>
    <w:rsid w:val="00C94764"/>
    <w:rsid w:val="00C956FD"/>
    <w:rsid w:val="00C960B8"/>
    <w:rsid w:val="00C972D4"/>
    <w:rsid w:val="00CA101B"/>
    <w:rsid w:val="00CA13D0"/>
    <w:rsid w:val="00CA1606"/>
    <w:rsid w:val="00CA1706"/>
    <w:rsid w:val="00CA177B"/>
    <w:rsid w:val="00CA1A06"/>
    <w:rsid w:val="00CA21B0"/>
    <w:rsid w:val="00CA235A"/>
    <w:rsid w:val="00CA2492"/>
    <w:rsid w:val="00CA2E42"/>
    <w:rsid w:val="00CA3037"/>
    <w:rsid w:val="00CA3437"/>
    <w:rsid w:val="00CA3D62"/>
    <w:rsid w:val="00CA41DB"/>
    <w:rsid w:val="00CA4F50"/>
    <w:rsid w:val="00CA50C7"/>
    <w:rsid w:val="00CA5261"/>
    <w:rsid w:val="00CA560D"/>
    <w:rsid w:val="00CA59C3"/>
    <w:rsid w:val="00CA5C23"/>
    <w:rsid w:val="00CA605E"/>
    <w:rsid w:val="00CA6861"/>
    <w:rsid w:val="00CA6ECF"/>
    <w:rsid w:val="00CA706B"/>
    <w:rsid w:val="00CA759B"/>
    <w:rsid w:val="00CA7991"/>
    <w:rsid w:val="00CA7AEC"/>
    <w:rsid w:val="00CA7C7A"/>
    <w:rsid w:val="00CB0B38"/>
    <w:rsid w:val="00CB0BA4"/>
    <w:rsid w:val="00CB14FA"/>
    <w:rsid w:val="00CB15F3"/>
    <w:rsid w:val="00CB1691"/>
    <w:rsid w:val="00CB17EA"/>
    <w:rsid w:val="00CB2217"/>
    <w:rsid w:val="00CB2EEE"/>
    <w:rsid w:val="00CB2F9C"/>
    <w:rsid w:val="00CB2FFF"/>
    <w:rsid w:val="00CB35B6"/>
    <w:rsid w:val="00CB3A20"/>
    <w:rsid w:val="00CB420E"/>
    <w:rsid w:val="00CB427A"/>
    <w:rsid w:val="00CB42C1"/>
    <w:rsid w:val="00CB4475"/>
    <w:rsid w:val="00CB44D1"/>
    <w:rsid w:val="00CB50FA"/>
    <w:rsid w:val="00CB5E93"/>
    <w:rsid w:val="00CB6026"/>
    <w:rsid w:val="00CB62C2"/>
    <w:rsid w:val="00CB679F"/>
    <w:rsid w:val="00CB67CF"/>
    <w:rsid w:val="00CB76F6"/>
    <w:rsid w:val="00CB7F4D"/>
    <w:rsid w:val="00CC09C4"/>
    <w:rsid w:val="00CC0CA4"/>
    <w:rsid w:val="00CC1492"/>
    <w:rsid w:val="00CC198D"/>
    <w:rsid w:val="00CC29FD"/>
    <w:rsid w:val="00CC2C9A"/>
    <w:rsid w:val="00CC2CE5"/>
    <w:rsid w:val="00CC2F20"/>
    <w:rsid w:val="00CC3BA3"/>
    <w:rsid w:val="00CC3E62"/>
    <w:rsid w:val="00CC415C"/>
    <w:rsid w:val="00CC44DB"/>
    <w:rsid w:val="00CC4607"/>
    <w:rsid w:val="00CC4CEA"/>
    <w:rsid w:val="00CC557F"/>
    <w:rsid w:val="00CC5587"/>
    <w:rsid w:val="00CC58AF"/>
    <w:rsid w:val="00CC5A3A"/>
    <w:rsid w:val="00CC5D71"/>
    <w:rsid w:val="00CC5EAA"/>
    <w:rsid w:val="00CC6CDB"/>
    <w:rsid w:val="00CC6F60"/>
    <w:rsid w:val="00CD03C6"/>
    <w:rsid w:val="00CD054C"/>
    <w:rsid w:val="00CD0A5D"/>
    <w:rsid w:val="00CD0DAD"/>
    <w:rsid w:val="00CD1C6B"/>
    <w:rsid w:val="00CD1CA2"/>
    <w:rsid w:val="00CD1E3A"/>
    <w:rsid w:val="00CD2011"/>
    <w:rsid w:val="00CD26D5"/>
    <w:rsid w:val="00CD2C39"/>
    <w:rsid w:val="00CD2DEE"/>
    <w:rsid w:val="00CD3065"/>
    <w:rsid w:val="00CD39D7"/>
    <w:rsid w:val="00CD469C"/>
    <w:rsid w:val="00CD4C36"/>
    <w:rsid w:val="00CD6E5E"/>
    <w:rsid w:val="00CD6E97"/>
    <w:rsid w:val="00CD718B"/>
    <w:rsid w:val="00CD7227"/>
    <w:rsid w:val="00CD748E"/>
    <w:rsid w:val="00CD7AB1"/>
    <w:rsid w:val="00CD7B16"/>
    <w:rsid w:val="00CD7F51"/>
    <w:rsid w:val="00CE000B"/>
    <w:rsid w:val="00CE004F"/>
    <w:rsid w:val="00CE0538"/>
    <w:rsid w:val="00CE0E0E"/>
    <w:rsid w:val="00CE12D2"/>
    <w:rsid w:val="00CE2D48"/>
    <w:rsid w:val="00CE373B"/>
    <w:rsid w:val="00CE448A"/>
    <w:rsid w:val="00CE48C5"/>
    <w:rsid w:val="00CE4906"/>
    <w:rsid w:val="00CE5081"/>
    <w:rsid w:val="00CE5567"/>
    <w:rsid w:val="00CE62DF"/>
    <w:rsid w:val="00CE6331"/>
    <w:rsid w:val="00CE6425"/>
    <w:rsid w:val="00CE70AD"/>
    <w:rsid w:val="00CE732E"/>
    <w:rsid w:val="00CE73E0"/>
    <w:rsid w:val="00CE73E6"/>
    <w:rsid w:val="00CE77DD"/>
    <w:rsid w:val="00CF008D"/>
    <w:rsid w:val="00CF0149"/>
    <w:rsid w:val="00CF11D9"/>
    <w:rsid w:val="00CF133F"/>
    <w:rsid w:val="00CF1537"/>
    <w:rsid w:val="00CF1634"/>
    <w:rsid w:val="00CF2491"/>
    <w:rsid w:val="00CF2CFD"/>
    <w:rsid w:val="00CF3389"/>
    <w:rsid w:val="00CF3B74"/>
    <w:rsid w:val="00CF3D6C"/>
    <w:rsid w:val="00CF3F02"/>
    <w:rsid w:val="00CF4693"/>
    <w:rsid w:val="00CF4885"/>
    <w:rsid w:val="00CF533B"/>
    <w:rsid w:val="00CF55A1"/>
    <w:rsid w:val="00CF60C0"/>
    <w:rsid w:val="00CF67C1"/>
    <w:rsid w:val="00CF7BD6"/>
    <w:rsid w:val="00D000D2"/>
    <w:rsid w:val="00D00157"/>
    <w:rsid w:val="00D0076F"/>
    <w:rsid w:val="00D00896"/>
    <w:rsid w:val="00D008F0"/>
    <w:rsid w:val="00D00E43"/>
    <w:rsid w:val="00D00FBD"/>
    <w:rsid w:val="00D010AA"/>
    <w:rsid w:val="00D01221"/>
    <w:rsid w:val="00D018AB"/>
    <w:rsid w:val="00D01A75"/>
    <w:rsid w:val="00D02187"/>
    <w:rsid w:val="00D023FE"/>
    <w:rsid w:val="00D0321A"/>
    <w:rsid w:val="00D03EB2"/>
    <w:rsid w:val="00D04495"/>
    <w:rsid w:val="00D044F0"/>
    <w:rsid w:val="00D04B94"/>
    <w:rsid w:val="00D05398"/>
    <w:rsid w:val="00D05536"/>
    <w:rsid w:val="00D06240"/>
    <w:rsid w:val="00D063B2"/>
    <w:rsid w:val="00D063F4"/>
    <w:rsid w:val="00D06927"/>
    <w:rsid w:val="00D06C9B"/>
    <w:rsid w:val="00D07009"/>
    <w:rsid w:val="00D072C8"/>
    <w:rsid w:val="00D07532"/>
    <w:rsid w:val="00D076BE"/>
    <w:rsid w:val="00D0776C"/>
    <w:rsid w:val="00D1051F"/>
    <w:rsid w:val="00D10679"/>
    <w:rsid w:val="00D106BD"/>
    <w:rsid w:val="00D108C7"/>
    <w:rsid w:val="00D114CD"/>
    <w:rsid w:val="00D1218E"/>
    <w:rsid w:val="00D12220"/>
    <w:rsid w:val="00D13CA1"/>
    <w:rsid w:val="00D1440B"/>
    <w:rsid w:val="00D1459B"/>
    <w:rsid w:val="00D14D7C"/>
    <w:rsid w:val="00D151B6"/>
    <w:rsid w:val="00D159F9"/>
    <w:rsid w:val="00D159FD"/>
    <w:rsid w:val="00D15B47"/>
    <w:rsid w:val="00D160FF"/>
    <w:rsid w:val="00D16443"/>
    <w:rsid w:val="00D203EF"/>
    <w:rsid w:val="00D20C57"/>
    <w:rsid w:val="00D21042"/>
    <w:rsid w:val="00D210D8"/>
    <w:rsid w:val="00D21720"/>
    <w:rsid w:val="00D2182C"/>
    <w:rsid w:val="00D21F6C"/>
    <w:rsid w:val="00D22AB3"/>
    <w:rsid w:val="00D23123"/>
    <w:rsid w:val="00D23ACF"/>
    <w:rsid w:val="00D23F56"/>
    <w:rsid w:val="00D24CA1"/>
    <w:rsid w:val="00D25D82"/>
    <w:rsid w:val="00D25E1E"/>
    <w:rsid w:val="00D26779"/>
    <w:rsid w:val="00D273AA"/>
    <w:rsid w:val="00D27B87"/>
    <w:rsid w:val="00D27EDE"/>
    <w:rsid w:val="00D304D2"/>
    <w:rsid w:val="00D3062B"/>
    <w:rsid w:val="00D3078D"/>
    <w:rsid w:val="00D31438"/>
    <w:rsid w:val="00D323CC"/>
    <w:rsid w:val="00D323E2"/>
    <w:rsid w:val="00D32491"/>
    <w:rsid w:val="00D32D35"/>
    <w:rsid w:val="00D32F4C"/>
    <w:rsid w:val="00D336D1"/>
    <w:rsid w:val="00D33A5B"/>
    <w:rsid w:val="00D33B4C"/>
    <w:rsid w:val="00D3428A"/>
    <w:rsid w:val="00D3438F"/>
    <w:rsid w:val="00D345D2"/>
    <w:rsid w:val="00D34BBE"/>
    <w:rsid w:val="00D34CD1"/>
    <w:rsid w:val="00D34D2C"/>
    <w:rsid w:val="00D34F47"/>
    <w:rsid w:val="00D350D1"/>
    <w:rsid w:val="00D351C4"/>
    <w:rsid w:val="00D352E9"/>
    <w:rsid w:val="00D35B45"/>
    <w:rsid w:val="00D3652C"/>
    <w:rsid w:val="00D368BE"/>
    <w:rsid w:val="00D36D94"/>
    <w:rsid w:val="00D3723C"/>
    <w:rsid w:val="00D37569"/>
    <w:rsid w:val="00D377A3"/>
    <w:rsid w:val="00D4058F"/>
    <w:rsid w:val="00D40718"/>
    <w:rsid w:val="00D409C2"/>
    <w:rsid w:val="00D415E8"/>
    <w:rsid w:val="00D41FE1"/>
    <w:rsid w:val="00D431B3"/>
    <w:rsid w:val="00D43E63"/>
    <w:rsid w:val="00D4471D"/>
    <w:rsid w:val="00D44BC4"/>
    <w:rsid w:val="00D4664B"/>
    <w:rsid w:val="00D46771"/>
    <w:rsid w:val="00D469FF"/>
    <w:rsid w:val="00D4743E"/>
    <w:rsid w:val="00D474BC"/>
    <w:rsid w:val="00D475F2"/>
    <w:rsid w:val="00D4776B"/>
    <w:rsid w:val="00D477B1"/>
    <w:rsid w:val="00D47A17"/>
    <w:rsid w:val="00D47D26"/>
    <w:rsid w:val="00D47DDB"/>
    <w:rsid w:val="00D47F03"/>
    <w:rsid w:val="00D505CE"/>
    <w:rsid w:val="00D50F4C"/>
    <w:rsid w:val="00D50FB8"/>
    <w:rsid w:val="00D512F8"/>
    <w:rsid w:val="00D5289A"/>
    <w:rsid w:val="00D52C68"/>
    <w:rsid w:val="00D5316F"/>
    <w:rsid w:val="00D5488D"/>
    <w:rsid w:val="00D54EA9"/>
    <w:rsid w:val="00D55395"/>
    <w:rsid w:val="00D55A6D"/>
    <w:rsid w:val="00D55BE1"/>
    <w:rsid w:val="00D55CA4"/>
    <w:rsid w:val="00D563E6"/>
    <w:rsid w:val="00D5657A"/>
    <w:rsid w:val="00D5658F"/>
    <w:rsid w:val="00D565D8"/>
    <w:rsid w:val="00D57322"/>
    <w:rsid w:val="00D5739A"/>
    <w:rsid w:val="00D57A04"/>
    <w:rsid w:val="00D57F56"/>
    <w:rsid w:val="00D6002B"/>
    <w:rsid w:val="00D6004F"/>
    <w:rsid w:val="00D60599"/>
    <w:rsid w:val="00D60A81"/>
    <w:rsid w:val="00D60B2A"/>
    <w:rsid w:val="00D60B8B"/>
    <w:rsid w:val="00D61A62"/>
    <w:rsid w:val="00D622B4"/>
    <w:rsid w:val="00D627A3"/>
    <w:rsid w:val="00D62984"/>
    <w:rsid w:val="00D62D61"/>
    <w:rsid w:val="00D63D30"/>
    <w:rsid w:val="00D64244"/>
    <w:rsid w:val="00D65C13"/>
    <w:rsid w:val="00D65F6F"/>
    <w:rsid w:val="00D65FDF"/>
    <w:rsid w:val="00D6601C"/>
    <w:rsid w:val="00D66626"/>
    <w:rsid w:val="00D6750F"/>
    <w:rsid w:val="00D675D7"/>
    <w:rsid w:val="00D6760E"/>
    <w:rsid w:val="00D67DFA"/>
    <w:rsid w:val="00D67EE6"/>
    <w:rsid w:val="00D712C8"/>
    <w:rsid w:val="00D71AAA"/>
    <w:rsid w:val="00D71BB1"/>
    <w:rsid w:val="00D71E6E"/>
    <w:rsid w:val="00D720AE"/>
    <w:rsid w:val="00D7249B"/>
    <w:rsid w:val="00D72755"/>
    <w:rsid w:val="00D729D7"/>
    <w:rsid w:val="00D72ABB"/>
    <w:rsid w:val="00D7308C"/>
    <w:rsid w:val="00D73EB3"/>
    <w:rsid w:val="00D741C5"/>
    <w:rsid w:val="00D7435D"/>
    <w:rsid w:val="00D74B62"/>
    <w:rsid w:val="00D74F91"/>
    <w:rsid w:val="00D75CD2"/>
    <w:rsid w:val="00D75E15"/>
    <w:rsid w:val="00D75EEB"/>
    <w:rsid w:val="00D75F41"/>
    <w:rsid w:val="00D76252"/>
    <w:rsid w:val="00D764B2"/>
    <w:rsid w:val="00D765C4"/>
    <w:rsid w:val="00D77579"/>
    <w:rsid w:val="00D77A81"/>
    <w:rsid w:val="00D812E6"/>
    <w:rsid w:val="00D814C8"/>
    <w:rsid w:val="00D81C9F"/>
    <w:rsid w:val="00D81CEA"/>
    <w:rsid w:val="00D82246"/>
    <w:rsid w:val="00D82284"/>
    <w:rsid w:val="00D8298E"/>
    <w:rsid w:val="00D83040"/>
    <w:rsid w:val="00D85856"/>
    <w:rsid w:val="00D85BB3"/>
    <w:rsid w:val="00D862EA"/>
    <w:rsid w:val="00D86839"/>
    <w:rsid w:val="00D87340"/>
    <w:rsid w:val="00D87B52"/>
    <w:rsid w:val="00D87D71"/>
    <w:rsid w:val="00D90081"/>
    <w:rsid w:val="00D90AF1"/>
    <w:rsid w:val="00D90D65"/>
    <w:rsid w:val="00D90EB3"/>
    <w:rsid w:val="00D91EC6"/>
    <w:rsid w:val="00D91EED"/>
    <w:rsid w:val="00D92160"/>
    <w:rsid w:val="00D93103"/>
    <w:rsid w:val="00D93121"/>
    <w:rsid w:val="00D93A10"/>
    <w:rsid w:val="00D93F67"/>
    <w:rsid w:val="00D9461D"/>
    <w:rsid w:val="00D951C4"/>
    <w:rsid w:val="00D958EE"/>
    <w:rsid w:val="00D96822"/>
    <w:rsid w:val="00D97149"/>
    <w:rsid w:val="00D97B98"/>
    <w:rsid w:val="00D97BEE"/>
    <w:rsid w:val="00D97CA6"/>
    <w:rsid w:val="00DA017A"/>
    <w:rsid w:val="00DA0E9C"/>
    <w:rsid w:val="00DA1109"/>
    <w:rsid w:val="00DA177A"/>
    <w:rsid w:val="00DA1BC3"/>
    <w:rsid w:val="00DA1C7B"/>
    <w:rsid w:val="00DA1CD7"/>
    <w:rsid w:val="00DA1E77"/>
    <w:rsid w:val="00DA2714"/>
    <w:rsid w:val="00DA27D2"/>
    <w:rsid w:val="00DA2868"/>
    <w:rsid w:val="00DA2E11"/>
    <w:rsid w:val="00DA30FA"/>
    <w:rsid w:val="00DA3679"/>
    <w:rsid w:val="00DA3B5C"/>
    <w:rsid w:val="00DA4007"/>
    <w:rsid w:val="00DA4A75"/>
    <w:rsid w:val="00DA4C81"/>
    <w:rsid w:val="00DA5E0B"/>
    <w:rsid w:val="00DA6B22"/>
    <w:rsid w:val="00DA6B88"/>
    <w:rsid w:val="00DA7247"/>
    <w:rsid w:val="00DA73F5"/>
    <w:rsid w:val="00DA7984"/>
    <w:rsid w:val="00DB019A"/>
    <w:rsid w:val="00DB098A"/>
    <w:rsid w:val="00DB0BF7"/>
    <w:rsid w:val="00DB14B5"/>
    <w:rsid w:val="00DB1627"/>
    <w:rsid w:val="00DB1D49"/>
    <w:rsid w:val="00DB2423"/>
    <w:rsid w:val="00DB247A"/>
    <w:rsid w:val="00DB2799"/>
    <w:rsid w:val="00DB2C0D"/>
    <w:rsid w:val="00DB2C4F"/>
    <w:rsid w:val="00DB33F5"/>
    <w:rsid w:val="00DB3B88"/>
    <w:rsid w:val="00DB40C7"/>
    <w:rsid w:val="00DB454C"/>
    <w:rsid w:val="00DB58D4"/>
    <w:rsid w:val="00DB5A8B"/>
    <w:rsid w:val="00DB5D7A"/>
    <w:rsid w:val="00DB66F6"/>
    <w:rsid w:val="00DB69BA"/>
    <w:rsid w:val="00DB7155"/>
    <w:rsid w:val="00DB71B7"/>
    <w:rsid w:val="00DB7B4F"/>
    <w:rsid w:val="00DB7BA0"/>
    <w:rsid w:val="00DC0E9F"/>
    <w:rsid w:val="00DC0EC6"/>
    <w:rsid w:val="00DC1496"/>
    <w:rsid w:val="00DC207F"/>
    <w:rsid w:val="00DC2FAC"/>
    <w:rsid w:val="00DC3501"/>
    <w:rsid w:val="00DC3A11"/>
    <w:rsid w:val="00DC42A1"/>
    <w:rsid w:val="00DC4F93"/>
    <w:rsid w:val="00DC4FB0"/>
    <w:rsid w:val="00DC52C3"/>
    <w:rsid w:val="00DC5592"/>
    <w:rsid w:val="00DC569E"/>
    <w:rsid w:val="00DC5CAA"/>
    <w:rsid w:val="00DC618E"/>
    <w:rsid w:val="00DC64EC"/>
    <w:rsid w:val="00DC66CA"/>
    <w:rsid w:val="00DC7110"/>
    <w:rsid w:val="00DC7206"/>
    <w:rsid w:val="00DC73C2"/>
    <w:rsid w:val="00DC7A1E"/>
    <w:rsid w:val="00DC7DA7"/>
    <w:rsid w:val="00DD078D"/>
    <w:rsid w:val="00DD0B94"/>
    <w:rsid w:val="00DD0D6B"/>
    <w:rsid w:val="00DD1230"/>
    <w:rsid w:val="00DD1884"/>
    <w:rsid w:val="00DD1CB8"/>
    <w:rsid w:val="00DD1FC4"/>
    <w:rsid w:val="00DD2436"/>
    <w:rsid w:val="00DD24E0"/>
    <w:rsid w:val="00DD2E78"/>
    <w:rsid w:val="00DD3250"/>
    <w:rsid w:val="00DD32BD"/>
    <w:rsid w:val="00DD3588"/>
    <w:rsid w:val="00DD396A"/>
    <w:rsid w:val="00DD3BB8"/>
    <w:rsid w:val="00DD3E93"/>
    <w:rsid w:val="00DD3F64"/>
    <w:rsid w:val="00DD45B6"/>
    <w:rsid w:val="00DD5835"/>
    <w:rsid w:val="00DD5EC1"/>
    <w:rsid w:val="00DD61DF"/>
    <w:rsid w:val="00DD6511"/>
    <w:rsid w:val="00DD6692"/>
    <w:rsid w:val="00DD6E49"/>
    <w:rsid w:val="00DD7295"/>
    <w:rsid w:val="00DD7AA1"/>
    <w:rsid w:val="00DE0047"/>
    <w:rsid w:val="00DE0647"/>
    <w:rsid w:val="00DE0B57"/>
    <w:rsid w:val="00DE1292"/>
    <w:rsid w:val="00DE1674"/>
    <w:rsid w:val="00DE1884"/>
    <w:rsid w:val="00DE1B13"/>
    <w:rsid w:val="00DE1B34"/>
    <w:rsid w:val="00DE2F1D"/>
    <w:rsid w:val="00DE390E"/>
    <w:rsid w:val="00DE4AC1"/>
    <w:rsid w:val="00DE4CA0"/>
    <w:rsid w:val="00DE4FCE"/>
    <w:rsid w:val="00DE5830"/>
    <w:rsid w:val="00DE5EC7"/>
    <w:rsid w:val="00DE604F"/>
    <w:rsid w:val="00DE67AA"/>
    <w:rsid w:val="00DE7029"/>
    <w:rsid w:val="00DE75BD"/>
    <w:rsid w:val="00DE7664"/>
    <w:rsid w:val="00DF02B0"/>
    <w:rsid w:val="00DF0343"/>
    <w:rsid w:val="00DF0689"/>
    <w:rsid w:val="00DF1446"/>
    <w:rsid w:val="00DF14B4"/>
    <w:rsid w:val="00DF164E"/>
    <w:rsid w:val="00DF1B58"/>
    <w:rsid w:val="00DF22CC"/>
    <w:rsid w:val="00DF2429"/>
    <w:rsid w:val="00DF25A0"/>
    <w:rsid w:val="00DF28EE"/>
    <w:rsid w:val="00DF28F2"/>
    <w:rsid w:val="00DF293D"/>
    <w:rsid w:val="00DF2A13"/>
    <w:rsid w:val="00DF2A9D"/>
    <w:rsid w:val="00DF2B5B"/>
    <w:rsid w:val="00DF2E67"/>
    <w:rsid w:val="00DF3C53"/>
    <w:rsid w:val="00DF49F1"/>
    <w:rsid w:val="00DF5108"/>
    <w:rsid w:val="00DF5B7D"/>
    <w:rsid w:val="00DF5F4E"/>
    <w:rsid w:val="00DF64FC"/>
    <w:rsid w:val="00DF6CBB"/>
    <w:rsid w:val="00DF6E25"/>
    <w:rsid w:val="00DF72B9"/>
    <w:rsid w:val="00DF74EC"/>
    <w:rsid w:val="00DF76FE"/>
    <w:rsid w:val="00DF7E3C"/>
    <w:rsid w:val="00DF7E70"/>
    <w:rsid w:val="00E00933"/>
    <w:rsid w:val="00E00939"/>
    <w:rsid w:val="00E01CC4"/>
    <w:rsid w:val="00E01FC9"/>
    <w:rsid w:val="00E02028"/>
    <w:rsid w:val="00E02228"/>
    <w:rsid w:val="00E02322"/>
    <w:rsid w:val="00E0269C"/>
    <w:rsid w:val="00E02F1F"/>
    <w:rsid w:val="00E04184"/>
    <w:rsid w:val="00E0468A"/>
    <w:rsid w:val="00E0484E"/>
    <w:rsid w:val="00E049E2"/>
    <w:rsid w:val="00E04A76"/>
    <w:rsid w:val="00E04BCF"/>
    <w:rsid w:val="00E06574"/>
    <w:rsid w:val="00E06849"/>
    <w:rsid w:val="00E06AC2"/>
    <w:rsid w:val="00E07408"/>
    <w:rsid w:val="00E1001E"/>
    <w:rsid w:val="00E1022C"/>
    <w:rsid w:val="00E1047F"/>
    <w:rsid w:val="00E1097A"/>
    <w:rsid w:val="00E10B35"/>
    <w:rsid w:val="00E10FF8"/>
    <w:rsid w:val="00E113C1"/>
    <w:rsid w:val="00E11F80"/>
    <w:rsid w:val="00E11FB2"/>
    <w:rsid w:val="00E12CEA"/>
    <w:rsid w:val="00E12F72"/>
    <w:rsid w:val="00E1399D"/>
    <w:rsid w:val="00E13C72"/>
    <w:rsid w:val="00E1415D"/>
    <w:rsid w:val="00E14B3C"/>
    <w:rsid w:val="00E1535B"/>
    <w:rsid w:val="00E1575D"/>
    <w:rsid w:val="00E15C21"/>
    <w:rsid w:val="00E164C5"/>
    <w:rsid w:val="00E16758"/>
    <w:rsid w:val="00E167F8"/>
    <w:rsid w:val="00E16CAD"/>
    <w:rsid w:val="00E174ED"/>
    <w:rsid w:val="00E178F5"/>
    <w:rsid w:val="00E2007B"/>
    <w:rsid w:val="00E20277"/>
    <w:rsid w:val="00E20767"/>
    <w:rsid w:val="00E2090A"/>
    <w:rsid w:val="00E20D7A"/>
    <w:rsid w:val="00E20DB6"/>
    <w:rsid w:val="00E211C9"/>
    <w:rsid w:val="00E21905"/>
    <w:rsid w:val="00E219C6"/>
    <w:rsid w:val="00E21EFF"/>
    <w:rsid w:val="00E22771"/>
    <w:rsid w:val="00E22E2A"/>
    <w:rsid w:val="00E234A8"/>
    <w:rsid w:val="00E2385B"/>
    <w:rsid w:val="00E23BC0"/>
    <w:rsid w:val="00E244F3"/>
    <w:rsid w:val="00E24B7C"/>
    <w:rsid w:val="00E24F7C"/>
    <w:rsid w:val="00E250DE"/>
    <w:rsid w:val="00E255A6"/>
    <w:rsid w:val="00E25ADE"/>
    <w:rsid w:val="00E26D94"/>
    <w:rsid w:val="00E26E96"/>
    <w:rsid w:val="00E272A7"/>
    <w:rsid w:val="00E302FB"/>
    <w:rsid w:val="00E303EA"/>
    <w:rsid w:val="00E3045A"/>
    <w:rsid w:val="00E30888"/>
    <w:rsid w:val="00E30D61"/>
    <w:rsid w:val="00E3120D"/>
    <w:rsid w:val="00E314D2"/>
    <w:rsid w:val="00E326F1"/>
    <w:rsid w:val="00E3289D"/>
    <w:rsid w:val="00E329AD"/>
    <w:rsid w:val="00E32C37"/>
    <w:rsid w:val="00E32D2F"/>
    <w:rsid w:val="00E33132"/>
    <w:rsid w:val="00E33CFE"/>
    <w:rsid w:val="00E344C1"/>
    <w:rsid w:val="00E34605"/>
    <w:rsid w:val="00E348B7"/>
    <w:rsid w:val="00E348D7"/>
    <w:rsid w:val="00E34D1A"/>
    <w:rsid w:val="00E350D3"/>
    <w:rsid w:val="00E35C72"/>
    <w:rsid w:val="00E36682"/>
    <w:rsid w:val="00E366F6"/>
    <w:rsid w:val="00E36760"/>
    <w:rsid w:val="00E36D95"/>
    <w:rsid w:val="00E3717D"/>
    <w:rsid w:val="00E372C2"/>
    <w:rsid w:val="00E3778D"/>
    <w:rsid w:val="00E37B40"/>
    <w:rsid w:val="00E37DEA"/>
    <w:rsid w:val="00E37E1B"/>
    <w:rsid w:val="00E37F81"/>
    <w:rsid w:val="00E4074D"/>
    <w:rsid w:val="00E41048"/>
    <w:rsid w:val="00E41AAF"/>
    <w:rsid w:val="00E4212D"/>
    <w:rsid w:val="00E42CF0"/>
    <w:rsid w:val="00E42D7A"/>
    <w:rsid w:val="00E4329C"/>
    <w:rsid w:val="00E43C98"/>
    <w:rsid w:val="00E43DEC"/>
    <w:rsid w:val="00E44023"/>
    <w:rsid w:val="00E441F6"/>
    <w:rsid w:val="00E4425D"/>
    <w:rsid w:val="00E44402"/>
    <w:rsid w:val="00E448D3"/>
    <w:rsid w:val="00E45674"/>
    <w:rsid w:val="00E461B7"/>
    <w:rsid w:val="00E46430"/>
    <w:rsid w:val="00E467B6"/>
    <w:rsid w:val="00E46AB0"/>
    <w:rsid w:val="00E46FF4"/>
    <w:rsid w:val="00E472EE"/>
    <w:rsid w:val="00E4744B"/>
    <w:rsid w:val="00E47EA3"/>
    <w:rsid w:val="00E506B3"/>
    <w:rsid w:val="00E506FA"/>
    <w:rsid w:val="00E50978"/>
    <w:rsid w:val="00E50B17"/>
    <w:rsid w:val="00E50F64"/>
    <w:rsid w:val="00E5177B"/>
    <w:rsid w:val="00E51DA1"/>
    <w:rsid w:val="00E51DEE"/>
    <w:rsid w:val="00E51FD9"/>
    <w:rsid w:val="00E520F1"/>
    <w:rsid w:val="00E52284"/>
    <w:rsid w:val="00E52779"/>
    <w:rsid w:val="00E52B0C"/>
    <w:rsid w:val="00E52ED4"/>
    <w:rsid w:val="00E5347E"/>
    <w:rsid w:val="00E53843"/>
    <w:rsid w:val="00E543D8"/>
    <w:rsid w:val="00E54629"/>
    <w:rsid w:val="00E54A84"/>
    <w:rsid w:val="00E55A3C"/>
    <w:rsid w:val="00E55E50"/>
    <w:rsid w:val="00E55E6C"/>
    <w:rsid w:val="00E55EF5"/>
    <w:rsid w:val="00E56BE5"/>
    <w:rsid w:val="00E56CAA"/>
    <w:rsid w:val="00E57186"/>
    <w:rsid w:val="00E57A5D"/>
    <w:rsid w:val="00E57CA3"/>
    <w:rsid w:val="00E60624"/>
    <w:rsid w:val="00E61483"/>
    <w:rsid w:val="00E61C2B"/>
    <w:rsid w:val="00E6244A"/>
    <w:rsid w:val="00E625D2"/>
    <w:rsid w:val="00E62BC5"/>
    <w:rsid w:val="00E6383C"/>
    <w:rsid w:val="00E6384D"/>
    <w:rsid w:val="00E6432F"/>
    <w:rsid w:val="00E6471F"/>
    <w:rsid w:val="00E64D17"/>
    <w:rsid w:val="00E64DF2"/>
    <w:rsid w:val="00E65599"/>
    <w:rsid w:val="00E65A16"/>
    <w:rsid w:val="00E65DD1"/>
    <w:rsid w:val="00E6613B"/>
    <w:rsid w:val="00E66217"/>
    <w:rsid w:val="00E6737E"/>
    <w:rsid w:val="00E677A4"/>
    <w:rsid w:val="00E6783B"/>
    <w:rsid w:val="00E6795D"/>
    <w:rsid w:val="00E70412"/>
    <w:rsid w:val="00E70A54"/>
    <w:rsid w:val="00E70B5C"/>
    <w:rsid w:val="00E70E33"/>
    <w:rsid w:val="00E70FE0"/>
    <w:rsid w:val="00E71819"/>
    <w:rsid w:val="00E72451"/>
    <w:rsid w:val="00E726C8"/>
    <w:rsid w:val="00E72A61"/>
    <w:rsid w:val="00E7355B"/>
    <w:rsid w:val="00E73D30"/>
    <w:rsid w:val="00E74582"/>
    <w:rsid w:val="00E74EB0"/>
    <w:rsid w:val="00E75185"/>
    <w:rsid w:val="00E7523B"/>
    <w:rsid w:val="00E75EEA"/>
    <w:rsid w:val="00E760E5"/>
    <w:rsid w:val="00E760EC"/>
    <w:rsid w:val="00E76139"/>
    <w:rsid w:val="00E76348"/>
    <w:rsid w:val="00E76905"/>
    <w:rsid w:val="00E77063"/>
    <w:rsid w:val="00E77083"/>
    <w:rsid w:val="00E77087"/>
    <w:rsid w:val="00E779AA"/>
    <w:rsid w:val="00E77EFC"/>
    <w:rsid w:val="00E80261"/>
    <w:rsid w:val="00E8030A"/>
    <w:rsid w:val="00E80B1A"/>
    <w:rsid w:val="00E80DB6"/>
    <w:rsid w:val="00E817FA"/>
    <w:rsid w:val="00E81858"/>
    <w:rsid w:val="00E82150"/>
    <w:rsid w:val="00E82264"/>
    <w:rsid w:val="00E829EB"/>
    <w:rsid w:val="00E82A1D"/>
    <w:rsid w:val="00E82C97"/>
    <w:rsid w:val="00E82E53"/>
    <w:rsid w:val="00E83B9A"/>
    <w:rsid w:val="00E83CFF"/>
    <w:rsid w:val="00E840DB"/>
    <w:rsid w:val="00E84354"/>
    <w:rsid w:val="00E8459B"/>
    <w:rsid w:val="00E8464F"/>
    <w:rsid w:val="00E84668"/>
    <w:rsid w:val="00E846F3"/>
    <w:rsid w:val="00E848E4"/>
    <w:rsid w:val="00E84CA0"/>
    <w:rsid w:val="00E8526A"/>
    <w:rsid w:val="00E857AC"/>
    <w:rsid w:val="00E86D42"/>
    <w:rsid w:val="00E87CFE"/>
    <w:rsid w:val="00E90656"/>
    <w:rsid w:val="00E906B5"/>
    <w:rsid w:val="00E90A09"/>
    <w:rsid w:val="00E90B85"/>
    <w:rsid w:val="00E91B9E"/>
    <w:rsid w:val="00E91F57"/>
    <w:rsid w:val="00E923AE"/>
    <w:rsid w:val="00E923B5"/>
    <w:rsid w:val="00E92654"/>
    <w:rsid w:val="00E9267E"/>
    <w:rsid w:val="00E9287E"/>
    <w:rsid w:val="00E93A24"/>
    <w:rsid w:val="00E93F29"/>
    <w:rsid w:val="00E94888"/>
    <w:rsid w:val="00E9530A"/>
    <w:rsid w:val="00E957A0"/>
    <w:rsid w:val="00E95C07"/>
    <w:rsid w:val="00E97279"/>
    <w:rsid w:val="00E9727B"/>
    <w:rsid w:val="00E974D1"/>
    <w:rsid w:val="00E97BD0"/>
    <w:rsid w:val="00E97EB0"/>
    <w:rsid w:val="00EA001D"/>
    <w:rsid w:val="00EA1672"/>
    <w:rsid w:val="00EA2437"/>
    <w:rsid w:val="00EA25CF"/>
    <w:rsid w:val="00EA2BAD"/>
    <w:rsid w:val="00EA3C88"/>
    <w:rsid w:val="00EA43D1"/>
    <w:rsid w:val="00EA4770"/>
    <w:rsid w:val="00EA50BD"/>
    <w:rsid w:val="00EA56EA"/>
    <w:rsid w:val="00EA57AA"/>
    <w:rsid w:val="00EA6153"/>
    <w:rsid w:val="00EA64F7"/>
    <w:rsid w:val="00EA6940"/>
    <w:rsid w:val="00EA6CA3"/>
    <w:rsid w:val="00EA7140"/>
    <w:rsid w:val="00EA74EF"/>
    <w:rsid w:val="00EA7AFD"/>
    <w:rsid w:val="00EA7CAB"/>
    <w:rsid w:val="00EA7DDE"/>
    <w:rsid w:val="00EB0245"/>
    <w:rsid w:val="00EB05E4"/>
    <w:rsid w:val="00EB068C"/>
    <w:rsid w:val="00EB15C7"/>
    <w:rsid w:val="00EB19DB"/>
    <w:rsid w:val="00EB19F7"/>
    <w:rsid w:val="00EB20D3"/>
    <w:rsid w:val="00EB283E"/>
    <w:rsid w:val="00EB2E69"/>
    <w:rsid w:val="00EB4535"/>
    <w:rsid w:val="00EB5047"/>
    <w:rsid w:val="00EB5146"/>
    <w:rsid w:val="00EB6453"/>
    <w:rsid w:val="00EB6AEB"/>
    <w:rsid w:val="00EB6C8C"/>
    <w:rsid w:val="00EB7B6F"/>
    <w:rsid w:val="00EC0865"/>
    <w:rsid w:val="00EC0DA4"/>
    <w:rsid w:val="00EC0F05"/>
    <w:rsid w:val="00EC0F16"/>
    <w:rsid w:val="00EC1033"/>
    <w:rsid w:val="00EC204C"/>
    <w:rsid w:val="00EC3929"/>
    <w:rsid w:val="00EC4129"/>
    <w:rsid w:val="00EC5541"/>
    <w:rsid w:val="00EC5975"/>
    <w:rsid w:val="00EC59D9"/>
    <w:rsid w:val="00EC5A09"/>
    <w:rsid w:val="00EC67FD"/>
    <w:rsid w:val="00EC68D0"/>
    <w:rsid w:val="00EC6AED"/>
    <w:rsid w:val="00EC73A7"/>
    <w:rsid w:val="00EC74C4"/>
    <w:rsid w:val="00EC74D8"/>
    <w:rsid w:val="00EC756D"/>
    <w:rsid w:val="00EC76FE"/>
    <w:rsid w:val="00EC7F34"/>
    <w:rsid w:val="00ED01C5"/>
    <w:rsid w:val="00ED01FD"/>
    <w:rsid w:val="00ED1290"/>
    <w:rsid w:val="00ED17EA"/>
    <w:rsid w:val="00ED18A5"/>
    <w:rsid w:val="00ED1AFF"/>
    <w:rsid w:val="00ED2025"/>
    <w:rsid w:val="00ED2ADC"/>
    <w:rsid w:val="00ED2DAE"/>
    <w:rsid w:val="00ED3707"/>
    <w:rsid w:val="00ED44FB"/>
    <w:rsid w:val="00ED536B"/>
    <w:rsid w:val="00ED5D8F"/>
    <w:rsid w:val="00ED6103"/>
    <w:rsid w:val="00ED62DA"/>
    <w:rsid w:val="00ED66A9"/>
    <w:rsid w:val="00ED6737"/>
    <w:rsid w:val="00ED6935"/>
    <w:rsid w:val="00ED6A55"/>
    <w:rsid w:val="00ED7126"/>
    <w:rsid w:val="00ED72CE"/>
    <w:rsid w:val="00ED76B9"/>
    <w:rsid w:val="00EE0686"/>
    <w:rsid w:val="00EE0E96"/>
    <w:rsid w:val="00EE106C"/>
    <w:rsid w:val="00EE14A2"/>
    <w:rsid w:val="00EE16FA"/>
    <w:rsid w:val="00EE283E"/>
    <w:rsid w:val="00EE302A"/>
    <w:rsid w:val="00EE32C8"/>
    <w:rsid w:val="00EE33D1"/>
    <w:rsid w:val="00EE3D5A"/>
    <w:rsid w:val="00EE4772"/>
    <w:rsid w:val="00EE487C"/>
    <w:rsid w:val="00EE495C"/>
    <w:rsid w:val="00EE4DFF"/>
    <w:rsid w:val="00EE51FE"/>
    <w:rsid w:val="00EE54CD"/>
    <w:rsid w:val="00EE5B00"/>
    <w:rsid w:val="00EE5B58"/>
    <w:rsid w:val="00EE627F"/>
    <w:rsid w:val="00EE662D"/>
    <w:rsid w:val="00EE69B0"/>
    <w:rsid w:val="00EE7377"/>
    <w:rsid w:val="00EE7493"/>
    <w:rsid w:val="00EE7736"/>
    <w:rsid w:val="00EF0319"/>
    <w:rsid w:val="00EF06E7"/>
    <w:rsid w:val="00EF09C8"/>
    <w:rsid w:val="00EF106D"/>
    <w:rsid w:val="00EF126D"/>
    <w:rsid w:val="00EF14BC"/>
    <w:rsid w:val="00EF1846"/>
    <w:rsid w:val="00EF1D1E"/>
    <w:rsid w:val="00EF2937"/>
    <w:rsid w:val="00EF333D"/>
    <w:rsid w:val="00EF3601"/>
    <w:rsid w:val="00EF3E7E"/>
    <w:rsid w:val="00EF40BC"/>
    <w:rsid w:val="00EF43FB"/>
    <w:rsid w:val="00EF46D8"/>
    <w:rsid w:val="00EF5020"/>
    <w:rsid w:val="00EF556B"/>
    <w:rsid w:val="00EF6201"/>
    <w:rsid w:val="00EF6770"/>
    <w:rsid w:val="00EF6A39"/>
    <w:rsid w:val="00EF7B12"/>
    <w:rsid w:val="00EF7ED0"/>
    <w:rsid w:val="00F0004E"/>
    <w:rsid w:val="00F002F9"/>
    <w:rsid w:val="00F00F0F"/>
    <w:rsid w:val="00F0103B"/>
    <w:rsid w:val="00F01040"/>
    <w:rsid w:val="00F012FF"/>
    <w:rsid w:val="00F0136F"/>
    <w:rsid w:val="00F01783"/>
    <w:rsid w:val="00F02BCC"/>
    <w:rsid w:val="00F02CB1"/>
    <w:rsid w:val="00F03239"/>
    <w:rsid w:val="00F03C13"/>
    <w:rsid w:val="00F03FFE"/>
    <w:rsid w:val="00F0441E"/>
    <w:rsid w:val="00F046BA"/>
    <w:rsid w:val="00F04B87"/>
    <w:rsid w:val="00F04F29"/>
    <w:rsid w:val="00F04F7F"/>
    <w:rsid w:val="00F056D6"/>
    <w:rsid w:val="00F05886"/>
    <w:rsid w:val="00F05D7E"/>
    <w:rsid w:val="00F06732"/>
    <w:rsid w:val="00F06793"/>
    <w:rsid w:val="00F06F6D"/>
    <w:rsid w:val="00F07189"/>
    <w:rsid w:val="00F073E3"/>
    <w:rsid w:val="00F075A7"/>
    <w:rsid w:val="00F078CB"/>
    <w:rsid w:val="00F07F3F"/>
    <w:rsid w:val="00F101CB"/>
    <w:rsid w:val="00F10561"/>
    <w:rsid w:val="00F112E8"/>
    <w:rsid w:val="00F1157B"/>
    <w:rsid w:val="00F12C14"/>
    <w:rsid w:val="00F12F76"/>
    <w:rsid w:val="00F13436"/>
    <w:rsid w:val="00F138F6"/>
    <w:rsid w:val="00F1405D"/>
    <w:rsid w:val="00F14F57"/>
    <w:rsid w:val="00F15066"/>
    <w:rsid w:val="00F1541B"/>
    <w:rsid w:val="00F15510"/>
    <w:rsid w:val="00F156CE"/>
    <w:rsid w:val="00F158C2"/>
    <w:rsid w:val="00F170C3"/>
    <w:rsid w:val="00F170E5"/>
    <w:rsid w:val="00F17DF7"/>
    <w:rsid w:val="00F20036"/>
    <w:rsid w:val="00F20920"/>
    <w:rsid w:val="00F20A24"/>
    <w:rsid w:val="00F20E11"/>
    <w:rsid w:val="00F218B3"/>
    <w:rsid w:val="00F219CB"/>
    <w:rsid w:val="00F22239"/>
    <w:rsid w:val="00F22695"/>
    <w:rsid w:val="00F22D0B"/>
    <w:rsid w:val="00F22DAA"/>
    <w:rsid w:val="00F22E45"/>
    <w:rsid w:val="00F2362F"/>
    <w:rsid w:val="00F2392C"/>
    <w:rsid w:val="00F239AF"/>
    <w:rsid w:val="00F23A42"/>
    <w:rsid w:val="00F24537"/>
    <w:rsid w:val="00F24A21"/>
    <w:rsid w:val="00F254EF"/>
    <w:rsid w:val="00F255B0"/>
    <w:rsid w:val="00F256D7"/>
    <w:rsid w:val="00F2609D"/>
    <w:rsid w:val="00F26179"/>
    <w:rsid w:val="00F26C01"/>
    <w:rsid w:val="00F26C4A"/>
    <w:rsid w:val="00F26DAA"/>
    <w:rsid w:val="00F26E51"/>
    <w:rsid w:val="00F26E85"/>
    <w:rsid w:val="00F26F21"/>
    <w:rsid w:val="00F27285"/>
    <w:rsid w:val="00F27331"/>
    <w:rsid w:val="00F303C7"/>
    <w:rsid w:val="00F30C46"/>
    <w:rsid w:val="00F31167"/>
    <w:rsid w:val="00F31242"/>
    <w:rsid w:val="00F31CD0"/>
    <w:rsid w:val="00F31DD1"/>
    <w:rsid w:val="00F3241A"/>
    <w:rsid w:val="00F32617"/>
    <w:rsid w:val="00F32D4B"/>
    <w:rsid w:val="00F330E3"/>
    <w:rsid w:val="00F332AB"/>
    <w:rsid w:val="00F33D9F"/>
    <w:rsid w:val="00F33F97"/>
    <w:rsid w:val="00F34A20"/>
    <w:rsid w:val="00F34C10"/>
    <w:rsid w:val="00F34DC0"/>
    <w:rsid w:val="00F34DC9"/>
    <w:rsid w:val="00F35B9B"/>
    <w:rsid w:val="00F35F39"/>
    <w:rsid w:val="00F367C7"/>
    <w:rsid w:val="00F367EB"/>
    <w:rsid w:val="00F368B1"/>
    <w:rsid w:val="00F368B9"/>
    <w:rsid w:val="00F37336"/>
    <w:rsid w:val="00F374D9"/>
    <w:rsid w:val="00F37B90"/>
    <w:rsid w:val="00F37D41"/>
    <w:rsid w:val="00F37FD8"/>
    <w:rsid w:val="00F4086E"/>
    <w:rsid w:val="00F40D32"/>
    <w:rsid w:val="00F40E61"/>
    <w:rsid w:val="00F413E1"/>
    <w:rsid w:val="00F4235D"/>
    <w:rsid w:val="00F42AD9"/>
    <w:rsid w:val="00F42CE5"/>
    <w:rsid w:val="00F432BA"/>
    <w:rsid w:val="00F43325"/>
    <w:rsid w:val="00F43346"/>
    <w:rsid w:val="00F43475"/>
    <w:rsid w:val="00F437F3"/>
    <w:rsid w:val="00F43E4F"/>
    <w:rsid w:val="00F43EDA"/>
    <w:rsid w:val="00F442BC"/>
    <w:rsid w:val="00F44E1A"/>
    <w:rsid w:val="00F451A1"/>
    <w:rsid w:val="00F451E0"/>
    <w:rsid w:val="00F452D7"/>
    <w:rsid w:val="00F453B8"/>
    <w:rsid w:val="00F454DD"/>
    <w:rsid w:val="00F454DF"/>
    <w:rsid w:val="00F456C8"/>
    <w:rsid w:val="00F4573F"/>
    <w:rsid w:val="00F459DF"/>
    <w:rsid w:val="00F45F34"/>
    <w:rsid w:val="00F46DC5"/>
    <w:rsid w:val="00F46E76"/>
    <w:rsid w:val="00F5025E"/>
    <w:rsid w:val="00F509F1"/>
    <w:rsid w:val="00F51296"/>
    <w:rsid w:val="00F513F9"/>
    <w:rsid w:val="00F51493"/>
    <w:rsid w:val="00F514E2"/>
    <w:rsid w:val="00F516B0"/>
    <w:rsid w:val="00F51F41"/>
    <w:rsid w:val="00F5281F"/>
    <w:rsid w:val="00F52F26"/>
    <w:rsid w:val="00F54082"/>
    <w:rsid w:val="00F54311"/>
    <w:rsid w:val="00F547E1"/>
    <w:rsid w:val="00F54B8B"/>
    <w:rsid w:val="00F54DA2"/>
    <w:rsid w:val="00F54FC9"/>
    <w:rsid w:val="00F553EC"/>
    <w:rsid w:val="00F55F37"/>
    <w:rsid w:val="00F569FD"/>
    <w:rsid w:val="00F56CAD"/>
    <w:rsid w:val="00F5737B"/>
    <w:rsid w:val="00F57E81"/>
    <w:rsid w:val="00F602BF"/>
    <w:rsid w:val="00F607BF"/>
    <w:rsid w:val="00F60B08"/>
    <w:rsid w:val="00F60EF2"/>
    <w:rsid w:val="00F61229"/>
    <w:rsid w:val="00F612FC"/>
    <w:rsid w:val="00F61BEB"/>
    <w:rsid w:val="00F624F3"/>
    <w:rsid w:val="00F6285E"/>
    <w:rsid w:val="00F62B2F"/>
    <w:rsid w:val="00F62BF0"/>
    <w:rsid w:val="00F63115"/>
    <w:rsid w:val="00F6339E"/>
    <w:rsid w:val="00F63447"/>
    <w:rsid w:val="00F6351D"/>
    <w:rsid w:val="00F639AD"/>
    <w:rsid w:val="00F639DD"/>
    <w:rsid w:val="00F63B40"/>
    <w:rsid w:val="00F63DAC"/>
    <w:rsid w:val="00F64367"/>
    <w:rsid w:val="00F646AF"/>
    <w:rsid w:val="00F647F7"/>
    <w:rsid w:val="00F64EC3"/>
    <w:rsid w:val="00F65413"/>
    <w:rsid w:val="00F65433"/>
    <w:rsid w:val="00F65EAD"/>
    <w:rsid w:val="00F66932"/>
    <w:rsid w:val="00F672DB"/>
    <w:rsid w:val="00F67B32"/>
    <w:rsid w:val="00F70485"/>
    <w:rsid w:val="00F7095B"/>
    <w:rsid w:val="00F70C77"/>
    <w:rsid w:val="00F73D31"/>
    <w:rsid w:val="00F73E41"/>
    <w:rsid w:val="00F73FA0"/>
    <w:rsid w:val="00F73FBE"/>
    <w:rsid w:val="00F74ED0"/>
    <w:rsid w:val="00F7511A"/>
    <w:rsid w:val="00F75354"/>
    <w:rsid w:val="00F75529"/>
    <w:rsid w:val="00F75A3C"/>
    <w:rsid w:val="00F75AEF"/>
    <w:rsid w:val="00F7614C"/>
    <w:rsid w:val="00F7658E"/>
    <w:rsid w:val="00F76753"/>
    <w:rsid w:val="00F76A88"/>
    <w:rsid w:val="00F77AD8"/>
    <w:rsid w:val="00F77FDE"/>
    <w:rsid w:val="00F8000A"/>
    <w:rsid w:val="00F807F1"/>
    <w:rsid w:val="00F80A98"/>
    <w:rsid w:val="00F81546"/>
    <w:rsid w:val="00F8258F"/>
    <w:rsid w:val="00F82669"/>
    <w:rsid w:val="00F82C8A"/>
    <w:rsid w:val="00F82F68"/>
    <w:rsid w:val="00F83161"/>
    <w:rsid w:val="00F83E1A"/>
    <w:rsid w:val="00F84885"/>
    <w:rsid w:val="00F849E5"/>
    <w:rsid w:val="00F84BB3"/>
    <w:rsid w:val="00F85B69"/>
    <w:rsid w:val="00F85E84"/>
    <w:rsid w:val="00F85F67"/>
    <w:rsid w:val="00F864F6"/>
    <w:rsid w:val="00F86E7E"/>
    <w:rsid w:val="00F90116"/>
    <w:rsid w:val="00F904FD"/>
    <w:rsid w:val="00F90569"/>
    <w:rsid w:val="00F905F1"/>
    <w:rsid w:val="00F90AB6"/>
    <w:rsid w:val="00F90D6C"/>
    <w:rsid w:val="00F90F16"/>
    <w:rsid w:val="00F90F95"/>
    <w:rsid w:val="00F91826"/>
    <w:rsid w:val="00F92A4D"/>
    <w:rsid w:val="00F92FFC"/>
    <w:rsid w:val="00F93487"/>
    <w:rsid w:val="00F937B5"/>
    <w:rsid w:val="00F95C96"/>
    <w:rsid w:val="00F95DBD"/>
    <w:rsid w:val="00F95DEA"/>
    <w:rsid w:val="00F9628D"/>
    <w:rsid w:val="00F968E6"/>
    <w:rsid w:val="00F96A17"/>
    <w:rsid w:val="00F96ACC"/>
    <w:rsid w:val="00F96BBD"/>
    <w:rsid w:val="00F97424"/>
    <w:rsid w:val="00FA00E6"/>
    <w:rsid w:val="00FA05CB"/>
    <w:rsid w:val="00FA0622"/>
    <w:rsid w:val="00FA164D"/>
    <w:rsid w:val="00FA17B7"/>
    <w:rsid w:val="00FA18FB"/>
    <w:rsid w:val="00FA1AF8"/>
    <w:rsid w:val="00FA1C6F"/>
    <w:rsid w:val="00FA1DEC"/>
    <w:rsid w:val="00FA2D9A"/>
    <w:rsid w:val="00FA33F0"/>
    <w:rsid w:val="00FA3B10"/>
    <w:rsid w:val="00FA410E"/>
    <w:rsid w:val="00FA44FE"/>
    <w:rsid w:val="00FA472C"/>
    <w:rsid w:val="00FA493F"/>
    <w:rsid w:val="00FA4D93"/>
    <w:rsid w:val="00FA4FFC"/>
    <w:rsid w:val="00FA5DAC"/>
    <w:rsid w:val="00FA7222"/>
    <w:rsid w:val="00FA776F"/>
    <w:rsid w:val="00FA7834"/>
    <w:rsid w:val="00FA7F1B"/>
    <w:rsid w:val="00FB0677"/>
    <w:rsid w:val="00FB0682"/>
    <w:rsid w:val="00FB0E7A"/>
    <w:rsid w:val="00FB135E"/>
    <w:rsid w:val="00FB17E4"/>
    <w:rsid w:val="00FB1B0C"/>
    <w:rsid w:val="00FB1CE4"/>
    <w:rsid w:val="00FB2A3B"/>
    <w:rsid w:val="00FB2AD4"/>
    <w:rsid w:val="00FB2C12"/>
    <w:rsid w:val="00FB33CE"/>
    <w:rsid w:val="00FB355B"/>
    <w:rsid w:val="00FB389D"/>
    <w:rsid w:val="00FB38E7"/>
    <w:rsid w:val="00FB39E1"/>
    <w:rsid w:val="00FB3D41"/>
    <w:rsid w:val="00FB4E42"/>
    <w:rsid w:val="00FB510A"/>
    <w:rsid w:val="00FB56F7"/>
    <w:rsid w:val="00FB5A84"/>
    <w:rsid w:val="00FB5B03"/>
    <w:rsid w:val="00FB5B4A"/>
    <w:rsid w:val="00FB5F5E"/>
    <w:rsid w:val="00FB5F75"/>
    <w:rsid w:val="00FB5FA1"/>
    <w:rsid w:val="00FB6320"/>
    <w:rsid w:val="00FB6665"/>
    <w:rsid w:val="00FB6696"/>
    <w:rsid w:val="00FB68FE"/>
    <w:rsid w:val="00FB7311"/>
    <w:rsid w:val="00FB7695"/>
    <w:rsid w:val="00FB76F5"/>
    <w:rsid w:val="00FB777B"/>
    <w:rsid w:val="00FB7BF0"/>
    <w:rsid w:val="00FB7BFB"/>
    <w:rsid w:val="00FB7D5F"/>
    <w:rsid w:val="00FB7DF2"/>
    <w:rsid w:val="00FB7EB0"/>
    <w:rsid w:val="00FC0064"/>
    <w:rsid w:val="00FC0928"/>
    <w:rsid w:val="00FC0CA9"/>
    <w:rsid w:val="00FC10F4"/>
    <w:rsid w:val="00FC12C3"/>
    <w:rsid w:val="00FC15C1"/>
    <w:rsid w:val="00FC23F4"/>
    <w:rsid w:val="00FC24F2"/>
    <w:rsid w:val="00FC287F"/>
    <w:rsid w:val="00FC2D9A"/>
    <w:rsid w:val="00FC30E3"/>
    <w:rsid w:val="00FC3786"/>
    <w:rsid w:val="00FC3A30"/>
    <w:rsid w:val="00FC441B"/>
    <w:rsid w:val="00FC483D"/>
    <w:rsid w:val="00FC4AA2"/>
    <w:rsid w:val="00FC4DC7"/>
    <w:rsid w:val="00FC4F81"/>
    <w:rsid w:val="00FC50BA"/>
    <w:rsid w:val="00FC5580"/>
    <w:rsid w:val="00FC65A1"/>
    <w:rsid w:val="00FC7351"/>
    <w:rsid w:val="00FD1651"/>
    <w:rsid w:val="00FD18C5"/>
    <w:rsid w:val="00FD22B1"/>
    <w:rsid w:val="00FD252B"/>
    <w:rsid w:val="00FD2A7F"/>
    <w:rsid w:val="00FD2CB5"/>
    <w:rsid w:val="00FD2FB9"/>
    <w:rsid w:val="00FD301C"/>
    <w:rsid w:val="00FD30A5"/>
    <w:rsid w:val="00FD3441"/>
    <w:rsid w:val="00FD35C9"/>
    <w:rsid w:val="00FD3B56"/>
    <w:rsid w:val="00FD40F6"/>
    <w:rsid w:val="00FD426D"/>
    <w:rsid w:val="00FD49E8"/>
    <w:rsid w:val="00FD5184"/>
    <w:rsid w:val="00FD523C"/>
    <w:rsid w:val="00FD52D4"/>
    <w:rsid w:val="00FD5E4B"/>
    <w:rsid w:val="00FD607D"/>
    <w:rsid w:val="00FD620A"/>
    <w:rsid w:val="00FD6B10"/>
    <w:rsid w:val="00FD6EDA"/>
    <w:rsid w:val="00FD710E"/>
    <w:rsid w:val="00FD7749"/>
    <w:rsid w:val="00FE016C"/>
    <w:rsid w:val="00FE0177"/>
    <w:rsid w:val="00FE049C"/>
    <w:rsid w:val="00FE057E"/>
    <w:rsid w:val="00FE1851"/>
    <w:rsid w:val="00FE1C55"/>
    <w:rsid w:val="00FE1D90"/>
    <w:rsid w:val="00FE1E31"/>
    <w:rsid w:val="00FE271A"/>
    <w:rsid w:val="00FE3DA0"/>
    <w:rsid w:val="00FE3F04"/>
    <w:rsid w:val="00FE44AD"/>
    <w:rsid w:val="00FE463D"/>
    <w:rsid w:val="00FE4A74"/>
    <w:rsid w:val="00FE4E0E"/>
    <w:rsid w:val="00FE51C3"/>
    <w:rsid w:val="00FE5205"/>
    <w:rsid w:val="00FE5627"/>
    <w:rsid w:val="00FE6078"/>
    <w:rsid w:val="00FE646E"/>
    <w:rsid w:val="00FE7012"/>
    <w:rsid w:val="00FF057F"/>
    <w:rsid w:val="00FF067F"/>
    <w:rsid w:val="00FF06E3"/>
    <w:rsid w:val="00FF0DF2"/>
    <w:rsid w:val="00FF11D0"/>
    <w:rsid w:val="00FF1744"/>
    <w:rsid w:val="00FF183E"/>
    <w:rsid w:val="00FF192D"/>
    <w:rsid w:val="00FF1D1D"/>
    <w:rsid w:val="00FF1D98"/>
    <w:rsid w:val="00FF250D"/>
    <w:rsid w:val="00FF27F9"/>
    <w:rsid w:val="00FF2AC3"/>
    <w:rsid w:val="00FF2BB3"/>
    <w:rsid w:val="00FF3031"/>
    <w:rsid w:val="00FF367D"/>
    <w:rsid w:val="00FF4379"/>
    <w:rsid w:val="00FF468C"/>
    <w:rsid w:val="00FF56B1"/>
    <w:rsid w:val="00FF5CF8"/>
    <w:rsid w:val="00FF6200"/>
    <w:rsid w:val="00FF626E"/>
    <w:rsid w:val="00FF6302"/>
    <w:rsid w:val="00FF6847"/>
    <w:rsid w:val="00FF6A32"/>
    <w:rsid w:val="00FF6D0A"/>
    <w:rsid w:val="00FF6E27"/>
    <w:rsid w:val="00FF70B7"/>
    <w:rsid w:val="00FF798A"/>
    <w:rsid w:val="00FF7B54"/>
    <w:rsid w:val="00FF7CBF"/>
    <w:rsid w:val="00FF7F3E"/>
    <w:rsid w:val="029255C2"/>
    <w:rsid w:val="03444559"/>
    <w:rsid w:val="03525C8C"/>
    <w:rsid w:val="03E72007"/>
    <w:rsid w:val="060055FE"/>
    <w:rsid w:val="060D798D"/>
    <w:rsid w:val="06BD5EAF"/>
    <w:rsid w:val="06E07F02"/>
    <w:rsid w:val="078E3D8E"/>
    <w:rsid w:val="07E375C1"/>
    <w:rsid w:val="08ED0BEC"/>
    <w:rsid w:val="09227BE4"/>
    <w:rsid w:val="0A323602"/>
    <w:rsid w:val="0A7057E4"/>
    <w:rsid w:val="0D7F0AFD"/>
    <w:rsid w:val="10350295"/>
    <w:rsid w:val="10405DD1"/>
    <w:rsid w:val="10471674"/>
    <w:rsid w:val="107B3F8E"/>
    <w:rsid w:val="109A1F82"/>
    <w:rsid w:val="10D67127"/>
    <w:rsid w:val="112F2705"/>
    <w:rsid w:val="122F29E3"/>
    <w:rsid w:val="12AD215B"/>
    <w:rsid w:val="13131734"/>
    <w:rsid w:val="13FC3D7B"/>
    <w:rsid w:val="142479BE"/>
    <w:rsid w:val="14E26FE8"/>
    <w:rsid w:val="15C20B80"/>
    <w:rsid w:val="178E4CDA"/>
    <w:rsid w:val="17C34821"/>
    <w:rsid w:val="19F71673"/>
    <w:rsid w:val="1A2143FB"/>
    <w:rsid w:val="1B786008"/>
    <w:rsid w:val="1BD571CF"/>
    <w:rsid w:val="1D7E078F"/>
    <w:rsid w:val="1D91329C"/>
    <w:rsid w:val="1E0B20C3"/>
    <w:rsid w:val="1E242FA0"/>
    <w:rsid w:val="1E385906"/>
    <w:rsid w:val="1E4715D9"/>
    <w:rsid w:val="1F3A2082"/>
    <w:rsid w:val="211E0C50"/>
    <w:rsid w:val="21A969DF"/>
    <w:rsid w:val="24F27B86"/>
    <w:rsid w:val="2621464D"/>
    <w:rsid w:val="26624EEC"/>
    <w:rsid w:val="26FC569E"/>
    <w:rsid w:val="283C21E6"/>
    <w:rsid w:val="29436F59"/>
    <w:rsid w:val="2A9F590D"/>
    <w:rsid w:val="2AEE2F16"/>
    <w:rsid w:val="2D421BC1"/>
    <w:rsid w:val="2DB86EB9"/>
    <w:rsid w:val="2DD50320"/>
    <w:rsid w:val="2E2E2C03"/>
    <w:rsid w:val="2F2C52F3"/>
    <w:rsid w:val="2F4F707A"/>
    <w:rsid w:val="31E53611"/>
    <w:rsid w:val="31FA5C75"/>
    <w:rsid w:val="3245009E"/>
    <w:rsid w:val="33CD5FAC"/>
    <w:rsid w:val="33F40DBD"/>
    <w:rsid w:val="34FA72FA"/>
    <w:rsid w:val="395672BB"/>
    <w:rsid w:val="3A5E0517"/>
    <w:rsid w:val="3B762333"/>
    <w:rsid w:val="3BD1788D"/>
    <w:rsid w:val="3C3473B3"/>
    <w:rsid w:val="3C786051"/>
    <w:rsid w:val="3D287B82"/>
    <w:rsid w:val="3D921336"/>
    <w:rsid w:val="3DC00BD6"/>
    <w:rsid w:val="3E8012D6"/>
    <w:rsid w:val="3F2F132C"/>
    <w:rsid w:val="3FE21264"/>
    <w:rsid w:val="412B7CA3"/>
    <w:rsid w:val="418E4370"/>
    <w:rsid w:val="43A12E55"/>
    <w:rsid w:val="43DE4F88"/>
    <w:rsid w:val="44CD1693"/>
    <w:rsid w:val="45E8385A"/>
    <w:rsid w:val="4622450E"/>
    <w:rsid w:val="47034C56"/>
    <w:rsid w:val="48021990"/>
    <w:rsid w:val="48C41376"/>
    <w:rsid w:val="4B08477A"/>
    <w:rsid w:val="4BFB6776"/>
    <w:rsid w:val="4CAA0117"/>
    <w:rsid w:val="4D510C91"/>
    <w:rsid w:val="4DAA4D04"/>
    <w:rsid w:val="4E9C116A"/>
    <w:rsid w:val="502C7124"/>
    <w:rsid w:val="50E56023"/>
    <w:rsid w:val="511542C7"/>
    <w:rsid w:val="52411188"/>
    <w:rsid w:val="526A3256"/>
    <w:rsid w:val="53AF725F"/>
    <w:rsid w:val="574752FD"/>
    <w:rsid w:val="57C2143D"/>
    <w:rsid w:val="58827F58"/>
    <w:rsid w:val="58E635EE"/>
    <w:rsid w:val="59C62A50"/>
    <w:rsid w:val="5A0B2ABA"/>
    <w:rsid w:val="5B474625"/>
    <w:rsid w:val="5D3E0F75"/>
    <w:rsid w:val="5D8B4C45"/>
    <w:rsid w:val="5DCD2BC8"/>
    <w:rsid w:val="5F2C3A2C"/>
    <w:rsid w:val="604A4C9F"/>
    <w:rsid w:val="607E530D"/>
    <w:rsid w:val="60B50588"/>
    <w:rsid w:val="60E900DF"/>
    <w:rsid w:val="613312B4"/>
    <w:rsid w:val="621D3609"/>
    <w:rsid w:val="625051A3"/>
    <w:rsid w:val="6263788F"/>
    <w:rsid w:val="632C4A55"/>
    <w:rsid w:val="64373359"/>
    <w:rsid w:val="644D1885"/>
    <w:rsid w:val="65E66479"/>
    <w:rsid w:val="67E77ECB"/>
    <w:rsid w:val="6B65355C"/>
    <w:rsid w:val="6BEC4056"/>
    <w:rsid w:val="6CBF0D34"/>
    <w:rsid w:val="6D1A19C3"/>
    <w:rsid w:val="6D777044"/>
    <w:rsid w:val="6ED56A30"/>
    <w:rsid w:val="70582F81"/>
    <w:rsid w:val="707919A7"/>
    <w:rsid w:val="70F06E2C"/>
    <w:rsid w:val="712426E0"/>
    <w:rsid w:val="71482FB8"/>
    <w:rsid w:val="71760294"/>
    <w:rsid w:val="72645199"/>
    <w:rsid w:val="72EA4584"/>
    <w:rsid w:val="73E7745D"/>
    <w:rsid w:val="73EE468B"/>
    <w:rsid w:val="741A4D68"/>
    <w:rsid w:val="74804411"/>
    <w:rsid w:val="76EA414E"/>
    <w:rsid w:val="77915B79"/>
    <w:rsid w:val="77FA0203"/>
    <w:rsid w:val="796D48C5"/>
    <w:rsid w:val="7A262930"/>
    <w:rsid w:val="7C5102B3"/>
    <w:rsid w:val="7D6A09D5"/>
    <w:rsid w:val="7D82594D"/>
    <w:rsid w:val="7F6A5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Times New Roman" w:hAnsi="Times New Roman" w:eastAsia="方正仿宋_GBK" w:cs="Times New Roman"/>
      <w:kern w:val="2"/>
      <w:sz w:val="32"/>
      <w:lang w:val="en-US" w:eastAsia="zh-CN" w:bidi="ar-SA"/>
    </w:rPr>
  </w:style>
  <w:style w:type="paragraph" w:styleId="3">
    <w:name w:val="heading 1"/>
    <w:basedOn w:val="1"/>
    <w:next w:val="1"/>
    <w:link w:val="39"/>
    <w:qFormat/>
    <w:uiPriority w:val="9"/>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9"/>
    <w:pPr>
      <w:outlineLvl w:val="1"/>
    </w:pPr>
    <w:rPr>
      <w:rFonts w:ascii="方正黑体_GBK" w:hAnsi="方正黑体_GBK" w:eastAsia="方正黑体_GBK"/>
      <w:bCs/>
      <w:szCs w:val="32"/>
    </w:rPr>
  </w:style>
  <w:style w:type="paragraph" w:styleId="5">
    <w:name w:val="heading 3"/>
    <w:basedOn w:val="1"/>
    <w:next w:val="1"/>
    <w:qFormat/>
    <w:uiPriority w:val="9"/>
    <w:pPr>
      <w:outlineLvl w:val="2"/>
    </w:pPr>
    <w:rPr>
      <w:rFonts w:ascii="方正楷体_GBK" w:hAnsi="方正楷体_GBK" w:eastAsia="方正楷体_GBK"/>
      <w:bCs/>
      <w:szCs w:val="32"/>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3"/>
    <w:unhideWhenUsed/>
    <w:qFormat/>
    <w:uiPriority w:val="99"/>
    <w:pPr>
      <w:spacing w:after="120"/>
    </w:pPr>
  </w:style>
  <w:style w:type="paragraph" w:styleId="6">
    <w:name w:val="toc 7"/>
    <w:basedOn w:val="1"/>
    <w:next w:val="1"/>
    <w:unhideWhenUsed/>
    <w:qFormat/>
    <w:uiPriority w:val="39"/>
    <w:pPr>
      <w:spacing w:line="240" w:lineRule="auto"/>
      <w:ind w:left="2520" w:leftChars="1200" w:firstLine="0" w:firstLineChars="0"/>
    </w:pPr>
    <w:rPr>
      <w:rFonts w:asciiTheme="minorHAnsi" w:hAnsiTheme="minorHAnsi" w:eastAsiaTheme="minorEastAsia" w:cstheme="minorBidi"/>
      <w:sz w:val="21"/>
      <w:szCs w:val="22"/>
    </w:rPr>
  </w:style>
  <w:style w:type="paragraph" w:styleId="7">
    <w:name w:val="annotation text"/>
    <w:basedOn w:val="1"/>
    <w:link w:val="38"/>
    <w:unhideWhenUsed/>
    <w:qFormat/>
    <w:uiPriority w:val="99"/>
    <w:pPr>
      <w:spacing w:line="240" w:lineRule="auto"/>
      <w:ind w:firstLine="0" w:firstLineChars="0"/>
      <w:jc w:val="left"/>
    </w:pPr>
    <w:rPr>
      <w:rFonts w:asciiTheme="minorHAnsi" w:hAnsiTheme="minorHAnsi" w:eastAsiaTheme="minorEastAsia" w:cstheme="minorBidi"/>
      <w:sz w:val="21"/>
      <w:szCs w:val="22"/>
    </w:rPr>
  </w:style>
  <w:style w:type="paragraph" w:styleId="8">
    <w:name w:val="toc 5"/>
    <w:basedOn w:val="1"/>
    <w:next w:val="1"/>
    <w:unhideWhenUsed/>
    <w:qFormat/>
    <w:uiPriority w:val="39"/>
    <w:pPr>
      <w:spacing w:line="240" w:lineRule="auto"/>
      <w:ind w:left="1680" w:leftChars="800" w:firstLine="0" w:firstLineChars="0"/>
    </w:pPr>
    <w:rPr>
      <w:rFonts w:asciiTheme="minorHAnsi" w:hAnsiTheme="minorHAnsi" w:eastAsiaTheme="minorEastAsia" w:cstheme="minorBidi"/>
      <w:sz w:val="21"/>
      <w:szCs w:val="22"/>
    </w:rPr>
  </w:style>
  <w:style w:type="paragraph" w:styleId="9">
    <w:name w:val="toc 3"/>
    <w:basedOn w:val="1"/>
    <w:next w:val="1"/>
    <w:unhideWhenUsed/>
    <w:qFormat/>
    <w:uiPriority w:val="39"/>
    <w:pPr>
      <w:ind w:left="840" w:leftChars="400"/>
    </w:pPr>
  </w:style>
  <w:style w:type="paragraph" w:styleId="10">
    <w:name w:val="toc 8"/>
    <w:basedOn w:val="1"/>
    <w:next w:val="1"/>
    <w:unhideWhenUsed/>
    <w:qFormat/>
    <w:uiPriority w:val="39"/>
    <w:pPr>
      <w:spacing w:line="240" w:lineRule="auto"/>
      <w:ind w:left="2940" w:leftChars="1400" w:firstLine="0" w:firstLineChars="0"/>
    </w:pPr>
    <w:rPr>
      <w:rFonts w:asciiTheme="minorHAnsi" w:hAnsiTheme="minorHAnsi" w:eastAsiaTheme="minorEastAsia" w:cstheme="minorBidi"/>
      <w:sz w:val="21"/>
      <w:szCs w:val="22"/>
    </w:rPr>
  </w:style>
  <w:style w:type="paragraph" w:styleId="11">
    <w:name w:val="Balloon Text"/>
    <w:basedOn w:val="1"/>
    <w:link w:val="37"/>
    <w:semiHidden/>
    <w:unhideWhenUsed/>
    <w:qFormat/>
    <w:uiPriority w:val="99"/>
    <w:pPr>
      <w:spacing w:line="240" w:lineRule="auto"/>
    </w:pPr>
    <w:rPr>
      <w:sz w:val="18"/>
      <w:szCs w:val="18"/>
    </w:rPr>
  </w:style>
  <w:style w:type="paragraph" w:styleId="12">
    <w:name w:val="footer"/>
    <w:basedOn w:val="1"/>
    <w:link w:val="36"/>
    <w:unhideWhenUsed/>
    <w:qFormat/>
    <w:uiPriority w:val="99"/>
    <w:pPr>
      <w:tabs>
        <w:tab w:val="center" w:pos="4153"/>
        <w:tab w:val="right" w:pos="8306"/>
      </w:tabs>
      <w:snapToGrid w:val="0"/>
      <w:spacing w:line="240" w:lineRule="atLeast"/>
      <w:jc w:val="left"/>
    </w:pPr>
    <w:rPr>
      <w:sz w:val="18"/>
      <w:szCs w:val="18"/>
    </w:rPr>
  </w:style>
  <w:style w:type="paragraph" w:styleId="13">
    <w:name w:val="header"/>
    <w:basedOn w:val="1"/>
    <w:link w:val="35"/>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4">
    <w:name w:val="toc 1"/>
    <w:basedOn w:val="1"/>
    <w:next w:val="1"/>
    <w:unhideWhenUsed/>
    <w:qFormat/>
    <w:uiPriority w:val="39"/>
    <w:pPr>
      <w:tabs>
        <w:tab w:val="right" w:leader="dot" w:pos="8296"/>
      </w:tabs>
      <w:spacing w:before="312" w:beforeLines="100" w:after="312" w:afterLines="100" w:line="600" w:lineRule="exact"/>
      <w:ind w:firstLine="0" w:firstLineChars="0"/>
      <w:jc w:val="center"/>
    </w:pPr>
    <w:rPr>
      <w:rFonts w:ascii="方正黑体_GBK" w:eastAsia="方正黑体_GBK"/>
      <w:sz w:val="40"/>
      <w:lang w:val="zh-CN"/>
    </w:rPr>
  </w:style>
  <w:style w:type="paragraph" w:styleId="15">
    <w:name w:val="toc 4"/>
    <w:basedOn w:val="1"/>
    <w:next w:val="1"/>
    <w:unhideWhenUsed/>
    <w:qFormat/>
    <w:uiPriority w:val="39"/>
    <w:pPr>
      <w:spacing w:line="240" w:lineRule="auto"/>
      <w:ind w:left="1260" w:leftChars="600" w:firstLine="0" w:firstLineChars="0"/>
    </w:pPr>
    <w:rPr>
      <w:rFonts w:asciiTheme="minorHAnsi" w:hAnsiTheme="minorHAnsi" w:eastAsiaTheme="minorEastAsia" w:cstheme="minorBidi"/>
      <w:sz w:val="21"/>
      <w:szCs w:val="22"/>
    </w:rPr>
  </w:style>
  <w:style w:type="paragraph" w:styleId="16">
    <w:name w:val="footnote text"/>
    <w:basedOn w:val="1"/>
    <w:semiHidden/>
    <w:unhideWhenUsed/>
    <w:qFormat/>
    <w:uiPriority w:val="99"/>
    <w:pPr>
      <w:snapToGrid w:val="0"/>
      <w:jc w:val="left"/>
    </w:pPr>
    <w:rPr>
      <w:sz w:val="18"/>
    </w:rPr>
  </w:style>
  <w:style w:type="paragraph" w:styleId="17">
    <w:name w:val="toc 6"/>
    <w:basedOn w:val="1"/>
    <w:next w:val="1"/>
    <w:unhideWhenUsed/>
    <w:qFormat/>
    <w:uiPriority w:val="39"/>
    <w:pPr>
      <w:spacing w:line="240" w:lineRule="auto"/>
      <w:ind w:left="2100" w:leftChars="1000" w:firstLine="0" w:firstLineChars="0"/>
    </w:pPr>
    <w:rPr>
      <w:rFonts w:asciiTheme="minorHAnsi" w:hAnsiTheme="minorHAnsi" w:eastAsiaTheme="minorEastAsia" w:cstheme="minorBidi"/>
      <w:sz w:val="21"/>
      <w:szCs w:val="22"/>
    </w:rPr>
  </w:style>
  <w:style w:type="paragraph" w:styleId="18">
    <w:name w:val="toc 2"/>
    <w:basedOn w:val="1"/>
    <w:next w:val="1"/>
    <w:unhideWhenUsed/>
    <w:qFormat/>
    <w:uiPriority w:val="39"/>
    <w:pPr>
      <w:tabs>
        <w:tab w:val="right" w:leader="dot" w:pos="8296"/>
      </w:tabs>
      <w:ind w:left="707" w:leftChars="200" w:hanging="67" w:hangingChars="21"/>
    </w:pPr>
  </w:style>
  <w:style w:type="paragraph" w:styleId="19">
    <w:name w:val="toc 9"/>
    <w:basedOn w:val="1"/>
    <w:next w:val="1"/>
    <w:unhideWhenUsed/>
    <w:qFormat/>
    <w:uiPriority w:val="39"/>
    <w:pPr>
      <w:spacing w:line="240" w:lineRule="auto"/>
      <w:ind w:left="3360" w:leftChars="1600" w:firstLine="0" w:firstLineChars="0"/>
    </w:pPr>
    <w:rPr>
      <w:rFonts w:asciiTheme="minorHAnsi" w:hAnsiTheme="minorHAnsi" w:eastAsiaTheme="minorEastAsia" w:cstheme="minorBidi"/>
      <w:sz w:val="21"/>
      <w:szCs w:val="22"/>
    </w:rPr>
  </w:style>
  <w:style w:type="paragraph" w:styleId="20">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2">
    <w:name w:val="Title"/>
    <w:basedOn w:val="1"/>
    <w:next w:val="1"/>
    <w:link w:val="42"/>
    <w:qFormat/>
    <w:uiPriority w:val="10"/>
    <w:pPr>
      <w:spacing w:before="240" w:after="60"/>
      <w:jc w:val="center"/>
      <w:outlineLvl w:val="0"/>
    </w:pPr>
    <w:rPr>
      <w:rFonts w:eastAsia="宋体" w:asciiTheme="majorHAnsi" w:hAnsiTheme="majorHAnsi" w:cstheme="majorBidi"/>
      <w:b/>
      <w:bCs/>
      <w:szCs w:val="32"/>
    </w:rPr>
  </w:style>
  <w:style w:type="paragraph" w:styleId="23">
    <w:name w:val="annotation subject"/>
    <w:basedOn w:val="7"/>
    <w:next w:val="7"/>
    <w:link w:val="45"/>
    <w:semiHidden/>
    <w:unhideWhenUsed/>
    <w:qFormat/>
    <w:uiPriority w:val="99"/>
    <w:pPr>
      <w:spacing w:line="560" w:lineRule="exact"/>
      <w:ind w:firstLine="200" w:firstLineChars="200"/>
    </w:pPr>
    <w:rPr>
      <w:rFonts w:ascii="Times New Roman" w:hAnsi="Times New Roman" w:eastAsia="方正仿宋_GBK" w:cs="Times New Roman"/>
      <w:b/>
      <w:bCs/>
      <w:sz w:val="32"/>
      <w:szCs w:val="20"/>
    </w:rPr>
  </w:style>
  <w:style w:type="paragraph" w:styleId="24">
    <w:name w:val="Body Text First Indent"/>
    <w:basedOn w:val="2"/>
    <w:link w:val="34"/>
    <w:semiHidden/>
    <w:unhideWhenUsed/>
    <w:qFormat/>
    <w:uiPriority w:val="99"/>
    <w:pPr>
      <w:ind w:firstLine="420" w:firstLineChars="100"/>
    </w:pPr>
  </w:style>
  <w:style w:type="table" w:styleId="26">
    <w:name w:val="Table Grid"/>
    <w:basedOn w:val="2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22"/>
    <w:rPr>
      <w:b/>
    </w:rPr>
  </w:style>
  <w:style w:type="character" w:styleId="29">
    <w:name w:val="Hyperlink"/>
    <w:basedOn w:val="27"/>
    <w:unhideWhenUsed/>
    <w:qFormat/>
    <w:uiPriority w:val="99"/>
    <w:rPr>
      <w:color w:val="0000FF" w:themeColor="hyperlink"/>
      <w:u w:val="single"/>
      <w14:textFill>
        <w14:solidFill>
          <w14:schemeClr w14:val="hlink"/>
        </w14:solidFill>
      </w14:textFill>
    </w:rPr>
  </w:style>
  <w:style w:type="character" w:styleId="30">
    <w:name w:val="annotation reference"/>
    <w:basedOn w:val="27"/>
    <w:semiHidden/>
    <w:unhideWhenUsed/>
    <w:qFormat/>
    <w:uiPriority w:val="99"/>
    <w:rPr>
      <w:sz w:val="21"/>
      <w:szCs w:val="21"/>
    </w:rPr>
  </w:style>
  <w:style w:type="character" w:styleId="31">
    <w:name w:val="footnote reference"/>
    <w:basedOn w:val="27"/>
    <w:semiHidden/>
    <w:unhideWhenUsed/>
    <w:qFormat/>
    <w:uiPriority w:val="99"/>
    <w:rPr>
      <w:vertAlign w:val="superscript"/>
    </w:rPr>
  </w:style>
  <w:style w:type="paragraph" w:customStyle="1" w:styleId="32">
    <w:name w:val="首行缩进"/>
    <w:basedOn w:val="1"/>
    <w:unhideWhenUsed/>
    <w:qFormat/>
    <w:uiPriority w:val="0"/>
    <w:pPr>
      <w:spacing w:line="360" w:lineRule="auto"/>
      <w:ind w:firstLine="480"/>
      <w:jc w:val="left"/>
    </w:pPr>
    <w:rPr>
      <w:rFonts w:hint="eastAsia" w:ascii="宋体" w:hAnsi="宋体"/>
      <w:sz w:val="24"/>
    </w:rPr>
  </w:style>
  <w:style w:type="character" w:customStyle="1" w:styleId="33">
    <w:name w:val="正文文本 字符"/>
    <w:basedOn w:val="27"/>
    <w:link w:val="2"/>
    <w:qFormat/>
    <w:uiPriority w:val="99"/>
    <w:rPr>
      <w:rFonts w:ascii="Calibri" w:hAnsi="Calibri" w:eastAsia="方正仿宋_GBK" w:cs="Times New Roman"/>
      <w:sz w:val="32"/>
    </w:rPr>
  </w:style>
  <w:style w:type="character" w:customStyle="1" w:styleId="34">
    <w:name w:val="正文首行缩进 字符"/>
    <w:basedOn w:val="33"/>
    <w:link w:val="24"/>
    <w:semiHidden/>
    <w:qFormat/>
    <w:uiPriority w:val="99"/>
    <w:rPr>
      <w:rFonts w:ascii="Calibri" w:hAnsi="Calibri" w:eastAsia="方正仿宋_GBK" w:cs="Times New Roman"/>
      <w:sz w:val="32"/>
    </w:rPr>
  </w:style>
  <w:style w:type="character" w:customStyle="1" w:styleId="35">
    <w:name w:val="页眉 字符"/>
    <w:basedOn w:val="27"/>
    <w:link w:val="13"/>
    <w:qFormat/>
    <w:uiPriority w:val="99"/>
    <w:rPr>
      <w:rFonts w:ascii="Times New Roman" w:hAnsi="Times New Roman" w:eastAsia="方正仿宋_GBK" w:cs="Times New Roman"/>
      <w:sz w:val="18"/>
      <w:szCs w:val="18"/>
    </w:rPr>
  </w:style>
  <w:style w:type="character" w:customStyle="1" w:styleId="36">
    <w:name w:val="页脚 字符"/>
    <w:basedOn w:val="27"/>
    <w:link w:val="12"/>
    <w:qFormat/>
    <w:uiPriority w:val="99"/>
    <w:rPr>
      <w:rFonts w:ascii="Times New Roman" w:hAnsi="Times New Roman" w:eastAsia="方正仿宋_GBK" w:cs="Times New Roman"/>
      <w:sz w:val="18"/>
      <w:szCs w:val="18"/>
    </w:rPr>
  </w:style>
  <w:style w:type="character" w:customStyle="1" w:styleId="37">
    <w:name w:val="批注框文本 字符"/>
    <w:basedOn w:val="27"/>
    <w:link w:val="11"/>
    <w:semiHidden/>
    <w:qFormat/>
    <w:uiPriority w:val="99"/>
    <w:rPr>
      <w:rFonts w:ascii="Times New Roman" w:hAnsi="Times New Roman" w:eastAsia="方正仿宋_GBK" w:cs="Times New Roman"/>
      <w:sz w:val="18"/>
      <w:szCs w:val="18"/>
    </w:rPr>
  </w:style>
  <w:style w:type="character" w:customStyle="1" w:styleId="38">
    <w:name w:val="批注文字 字符"/>
    <w:basedOn w:val="27"/>
    <w:link w:val="7"/>
    <w:qFormat/>
    <w:uiPriority w:val="99"/>
  </w:style>
  <w:style w:type="character" w:customStyle="1" w:styleId="39">
    <w:name w:val="标题 1 字符"/>
    <w:basedOn w:val="27"/>
    <w:link w:val="3"/>
    <w:qFormat/>
    <w:uiPriority w:val="9"/>
    <w:rPr>
      <w:rFonts w:ascii="Times New Roman" w:hAnsi="Times New Roman" w:eastAsia="方正仿宋_GBK" w:cs="Times New Roman"/>
      <w:b/>
      <w:bCs/>
      <w:kern w:val="44"/>
      <w:sz w:val="44"/>
      <w:szCs w:val="44"/>
    </w:rPr>
  </w:style>
  <w:style w:type="paragraph" w:customStyle="1" w:styleId="40">
    <w:name w:val="TOC 标题1"/>
    <w:basedOn w:val="3"/>
    <w:next w:val="1"/>
    <w:semiHidden/>
    <w:unhideWhenUsed/>
    <w:qFormat/>
    <w:uiPriority w:val="39"/>
    <w:pPr>
      <w:widowControl/>
      <w:spacing w:before="480" w:after="0" w:line="276" w:lineRule="auto"/>
      <w:ind w:firstLine="0" w:firstLineChars="0"/>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1">
    <w:name w:val="Default"/>
    <w:qFormat/>
    <w:uiPriority w:val="0"/>
    <w:pPr>
      <w:widowControl w:val="0"/>
      <w:autoSpaceDE w:val="0"/>
      <w:autoSpaceDN w:val="0"/>
      <w:adjustRightInd w:val="0"/>
    </w:pPr>
    <w:rPr>
      <w:rFonts w:ascii="方正仿宋_GBK" w:eastAsia="方正仿宋_GBK" w:cs="方正仿宋_GBK" w:hAnsiTheme="minorHAnsi"/>
      <w:color w:val="000000"/>
      <w:sz w:val="24"/>
      <w:szCs w:val="24"/>
      <w:lang w:val="en-US" w:eastAsia="zh-CN" w:bidi="ar-SA"/>
    </w:rPr>
  </w:style>
  <w:style w:type="character" w:customStyle="1" w:styleId="42">
    <w:name w:val="标题 字符"/>
    <w:basedOn w:val="27"/>
    <w:link w:val="22"/>
    <w:qFormat/>
    <w:uiPriority w:val="10"/>
    <w:rPr>
      <w:rFonts w:eastAsia="宋体" w:asciiTheme="majorHAnsi" w:hAnsiTheme="majorHAnsi" w:cstheme="majorBidi"/>
      <w:b/>
      <w:bCs/>
      <w:sz w:val="32"/>
      <w:szCs w:val="32"/>
    </w:rPr>
  </w:style>
  <w:style w:type="paragraph" w:customStyle="1" w:styleId="43">
    <w:name w:val="1 Char"/>
    <w:basedOn w:val="1"/>
    <w:qFormat/>
    <w:uiPriority w:val="0"/>
    <w:pPr>
      <w:spacing w:line="240" w:lineRule="auto"/>
      <w:ind w:firstLine="0" w:firstLineChars="0"/>
    </w:pPr>
    <w:rPr>
      <w:rFonts w:eastAsia="宋体"/>
      <w:sz w:val="21"/>
    </w:rPr>
  </w:style>
  <w:style w:type="table" w:customStyle="1" w:styleId="44">
    <w:name w:val="网格型1"/>
    <w:basedOn w:val="2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5">
    <w:name w:val="批注主题 字符"/>
    <w:basedOn w:val="38"/>
    <w:link w:val="23"/>
    <w:semiHidden/>
    <w:qFormat/>
    <w:uiPriority w:val="99"/>
    <w:rPr>
      <w:rFonts w:ascii="Times New Roman" w:hAnsi="Times New Roman" w:eastAsia="方正仿宋_GBK" w:cs="Times New Roman"/>
      <w:b/>
      <w:bCs/>
      <w:sz w:val="32"/>
      <w:szCs w:val="20"/>
    </w:rPr>
  </w:style>
  <w:style w:type="paragraph" w:customStyle="1" w:styleId="46">
    <w:name w:val="修订1"/>
    <w:hidden/>
    <w:semiHidden/>
    <w:qFormat/>
    <w:uiPriority w:val="99"/>
    <w:rPr>
      <w:rFonts w:ascii="Times New Roman" w:hAnsi="Times New Roman" w:eastAsia="方正仿宋_GBK" w:cs="Times New Roman"/>
      <w:kern w:val="2"/>
      <w:sz w:val="32"/>
      <w:lang w:val="en-US" w:eastAsia="zh-CN" w:bidi="ar-SA"/>
    </w:rPr>
  </w:style>
  <w:style w:type="table" w:customStyle="1" w:styleId="47">
    <w:name w:val="网格型2"/>
    <w:basedOn w:val="2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48">
    <w:name w:val="List Paragraph"/>
    <w:basedOn w:val="1"/>
    <w:qFormat/>
    <w:uiPriority w:val="34"/>
    <w:pPr>
      <w:ind w:firstLine="420"/>
    </w:pPr>
  </w:style>
  <w:style w:type="paragraph" w:styleId="49">
    <w:name w:val="No Spacing"/>
    <w:qFormat/>
    <w:uiPriority w:val="1"/>
    <w:pPr>
      <w:widowControl w:val="0"/>
      <w:ind w:firstLine="200" w:firstLineChars="200"/>
      <w:jc w:val="both"/>
    </w:pPr>
    <w:rPr>
      <w:rFonts w:ascii="Times New Roman" w:hAnsi="Times New Roman" w:eastAsia="方正仿宋_GBK" w:cs="Times New Roman"/>
      <w:kern w:val="2"/>
      <w:sz w:val="32"/>
      <w:lang w:val="en-US" w:eastAsia="zh-CN" w:bidi="ar-SA"/>
    </w:rPr>
  </w:style>
  <w:style w:type="character" w:customStyle="1" w:styleId="50">
    <w:name w:val="text"/>
    <w:basedOn w:val="27"/>
    <w:qFormat/>
    <w:uiPriority w:val="0"/>
  </w:style>
  <w:style w:type="paragraph" w:customStyle="1" w:styleId="51">
    <w:name w:val="修订2"/>
    <w:hidden/>
    <w:unhideWhenUsed/>
    <w:qFormat/>
    <w:uiPriority w:val="99"/>
    <w:rPr>
      <w:rFonts w:ascii="Times New Roman" w:hAnsi="Times New Roman" w:eastAsia="方正仿宋_GBK" w:cs="Times New Roman"/>
      <w:kern w:val="2"/>
      <w:sz w:val="32"/>
      <w:lang w:val="en-US" w:eastAsia="zh-CN" w:bidi="ar-SA"/>
    </w:rPr>
  </w:style>
  <w:style w:type="table" w:customStyle="1" w:styleId="52">
    <w:name w:val="网格型11"/>
    <w:basedOn w:val="2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
    <w:name w:val="网格型12"/>
    <w:basedOn w:val="2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4">
    <w:name w:val="修订3"/>
    <w:hidden/>
    <w:unhideWhenUsed/>
    <w:qFormat/>
    <w:uiPriority w:val="99"/>
    <w:rPr>
      <w:rFonts w:ascii="Times New Roman" w:hAnsi="Times New Roman" w:eastAsia="方正仿宋_GBK" w:cs="Times New Roman"/>
      <w:kern w:val="2"/>
      <w:sz w:val="32"/>
      <w:lang w:val="en-US" w:eastAsia="zh-CN" w:bidi="ar-SA"/>
    </w:rPr>
  </w:style>
  <w:style w:type="paragraph" w:customStyle="1" w:styleId="55">
    <w:name w:val="修订4"/>
    <w:hidden/>
    <w:semiHidden/>
    <w:qFormat/>
    <w:uiPriority w:val="99"/>
    <w:rPr>
      <w:rFonts w:ascii="Times New Roman" w:hAnsi="Times New Roman" w:eastAsia="方正仿宋_GBK" w:cs="Times New Roman"/>
      <w:kern w:val="2"/>
      <w:sz w:val="32"/>
      <w:lang w:val="en-US" w:eastAsia="zh-CN" w:bidi="ar-SA"/>
    </w:rPr>
  </w:style>
  <w:style w:type="character" w:customStyle="1" w:styleId="56">
    <w:name w:val="font01"/>
    <w:basedOn w:val="27"/>
    <w:qFormat/>
    <w:uiPriority w:val="0"/>
    <w:rPr>
      <w:rFonts w:hint="eastAsia" w:ascii="宋体" w:hAnsi="宋体" w:eastAsia="宋体" w:cs="宋体"/>
      <w:color w:val="000000"/>
      <w:sz w:val="22"/>
      <w:szCs w:val="22"/>
      <w:u w:val="none"/>
    </w:rPr>
  </w:style>
  <w:style w:type="character" w:customStyle="1" w:styleId="57">
    <w:name w:val="font11"/>
    <w:basedOn w:val="27"/>
    <w:qFormat/>
    <w:uiPriority w:val="0"/>
    <w:rPr>
      <w:rFonts w:hint="eastAsia" w:ascii="宋体" w:hAnsi="宋体" w:eastAsia="宋体" w:cs="宋体"/>
      <w:color w:val="000000"/>
      <w:sz w:val="22"/>
      <w:szCs w:val="22"/>
      <w:u w:val="none"/>
    </w:rPr>
  </w:style>
  <w:style w:type="character" w:customStyle="1" w:styleId="58">
    <w:name w:val="font21"/>
    <w:basedOn w:val="27"/>
    <w:qFormat/>
    <w:uiPriority w:val="0"/>
    <w:rPr>
      <w:rFonts w:hint="eastAsia" w:ascii="方正仿宋_GBK" w:hAnsi="方正仿宋_GBK" w:eastAsia="方正仿宋_GBK" w:cs="方正仿宋_GBK"/>
      <w:color w:val="000000"/>
      <w:sz w:val="24"/>
      <w:szCs w:val="24"/>
      <w:u w:val="none"/>
    </w:rPr>
  </w:style>
  <w:style w:type="paragraph" w:customStyle="1" w:styleId="59">
    <w:name w:val="TOC 标题2"/>
    <w:basedOn w:val="3"/>
    <w:next w:val="1"/>
    <w:semiHidden/>
    <w:unhideWhenUsed/>
    <w:qFormat/>
    <w:uiPriority w:val="39"/>
    <w:pPr>
      <w:widowControl/>
      <w:spacing w:before="480" w:after="0" w:line="276" w:lineRule="auto"/>
      <w:ind w:firstLine="0" w:firstLineChars="0"/>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6B66F-2599-4B78-992A-DD07A319B9A8}">
  <ds:schemaRefs/>
</ds:datastoreItem>
</file>

<file path=docProps/app.xml><?xml version="1.0" encoding="utf-8"?>
<Properties xmlns="http://schemas.openxmlformats.org/officeDocument/2006/extended-properties" xmlns:vt="http://schemas.openxmlformats.org/officeDocument/2006/docPropsVTypes">
  <Template>Normal</Template>
  <Company>中国微软</Company>
  <Pages>66</Pages>
  <Words>5972</Words>
  <Characters>34047</Characters>
  <Lines>283</Lines>
  <Paragraphs>79</Paragraphs>
  <TotalTime>204</TotalTime>
  <ScaleCrop>false</ScaleCrop>
  <LinksUpToDate>false</LinksUpToDate>
  <CharactersWithSpaces>39940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2021-07-29T06:35:00Z</dcterms:created>
  <dc:creator>admin</dc:creator>
  <cp:lastModifiedBy>李荔馥</cp:lastModifiedBy>
  <cp:lastPrinted>2021-10-12T08:56:00Z</cp:lastPrinted>
  <dcterms:modified xsi:type="dcterms:W3CDTF">2021-11-05T05:13:22Z</dcterms:modified>
  <cp:revision>483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4D681CBB81CF4CE1A88B4A41E7BC0C1F</vt:lpwstr>
  </property>
</Properties>
</file>