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/>
        <w:jc w:val="center"/>
        <w:rPr>
          <w:b/>
          <w:color w:val="333333"/>
          <w:sz w:val="40"/>
          <w:szCs w:val="40"/>
        </w:rPr>
      </w:pPr>
      <w:r w:rsidRPr="00202404">
        <w:rPr>
          <w:rFonts w:hint="eastAsia"/>
          <w:b/>
          <w:color w:val="333333"/>
          <w:sz w:val="40"/>
          <w:szCs w:val="40"/>
        </w:rPr>
        <w:t>无锡市区2020年度国有建设用地供应计划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color w:val="333333"/>
        </w:rPr>
      </w:pPr>
      <w:r>
        <w:rPr>
          <w:rFonts w:hint="eastAsia"/>
          <w:color w:val="333333"/>
          <w:sz w:val="19"/>
          <w:szCs w:val="19"/>
        </w:rPr>
        <w:t xml:space="preserve">　　</w:t>
      </w:r>
      <w:r w:rsidRPr="00202404">
        <w:rPr>
          <w:rFonts w:hint="eastAsia"/>
          <w:color w:val="333333"/>
        </w:rPr>
        <w:t>为有效实施土地利用总体规划和土地利用年度计划，科学安排国有建设用地供应，实现以土地利用方式的转变促进经济发展方式转变，根据《国有建设用地供应计划编制规范（试行）》（</w:t>
      </w:r>
      <w:proofErr w:type="gramStart"/>
      <w:r w:rsidRPr="00202404">
        <w:rPr>
          <w:rFonts w:hint="eastAsia"/>
          <w:color w:val="333333"/>
        </w:rPr>
        <w:t>国土资发〔2010〕</w:t>
      </w:r>
      <w:proofErr w:type="gramEnd"/>
      <w:r w:rsidRPr="00202404">
        <w:rPr>
          <w:rFonts w:hint="eastAsia"/>
          <w:color w:val="333333"/>
        </w:rPr>
        <w:t>117号）、《市政府关于印发无锡市国有建设用地使用管公开出让规定的通知》（锡政</w:t>
      </w:r>
      <w:proofErr w:type="gramStart"/>
      <w:r w:rsidRPr="00202404">
        <w:rPr>
          <w:rFonts w:hint="eastAsia"/>
          <w:color w:val="333333"/>
        </w:rPr>
        <w:t>规</w:t>
      </w:r>
      <w:proofErr w:type="gramEnd"/>
      <w:r w:rsidRPr="00202404">
        <w:rPr>
          <w:rFonts w:hint="eastAsia"/>
          <w:color w:val="333333"/>
        </w:rPr>
        <w:t>〔2012〕4号）以及房地产市场调控的相关要求，依据无锡城市总体规划、土地利用总体规划、国民经济和社会发展第十三个五年规划发展规划纲要，结合市区土地供应能力和各区域经济社会发展对各类用地的需求，制定本计划。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b/>
          <w:color w:val="333333"/>
        </w:rPr>
      </w:pPr>
      <w:r w:rsidRPr="00202404">
        <w:rPr>
          <w:rFonts w:hint="eastAsia"/>
          <w:color w:val="333333"/>
        </w:rPr>
        <w:t xml:space="preserve">　　</w:t>
      </w:r>
      <w:r w:rsidRPr="00202404">
        <w:rPr>
          <w:rFonts w:hint="eastAsia"/>
          <w:b/>
          <w:color w:val="333333"/>
        </w:rPr>
        <w:t>一、基本原则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color w:val="333333"/>
        </w:rPr>
      </w:pPr>
      <w:r w:rsidRPr="00202404">
        <w:rPr>
          <w:rFonts w:hint="eastAsia"/>
          <w:color w:val="333333"/>
        </w:rPr>
        <w:t xml:space="preserve">　　坚持以习近平新时代中国特色社会主义思想为指导，贯彻落实中央、省、市关于加强房地产市场调控和节约集约用地的总要求，按照盘活存量、控制增量、优化结构、区别对待、有保有压的总要求，结合当前去库存现状，科学编制2020年度国有建设用地供应计划，保障土地资源长远发展。本次计划编制遵循以下原则：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color w:val="333333"/>
        </w:rPr>
      </w:pPr>
      <w:r w:rsidRPr="00202404">
        <w:rPr>
          <w:rFonts w:hint="eastAsia"/>
          <w:color w:val="333333"/>
        </w:rPr>
        <w:t xml:space="preserve">　　（一）供需平衡。全力服务强</w:t>
      </w:r>
      <w:proofErr w:type="gramStart"/>
      <w:r w:rsidRPr="00202404">
        <w:rPr>
          <w:rFonts w:hint="eastAsia"/>
          <w:color w:val="333333"/>
        </w:rPr>
        <w:t>富美高新</w:t>
      </w:r>
      <w:proofErr w:type="gramEnd"/>
      <w:r w:rsidRPr="00202404">
        <w:rPr>
          <w:rFonts w:hint="eastAsia"/>
          <w:color w:val="333333"/>
        </w:rPr>
        <w:t>无锡建设，主动对接产业强市主导战略，结合近几年我市土地实际供应量和商品房库存量，</w:t>
      </w:r>
      <w:proofErr w:type="gramStart"/>
      <w:r w:rsidRPr="00202404">
        <w:rPr>
          <w:rFonts w:hint="eastAsia"/>
          <w:color w:val="333333"/>
        </w:rPr>
        <w:t>按照控总调</w:t>
      </w:r>
      <w:proofErr w:type="gramEnd"/>
      <w:r w:rsidRPr="00202404">
        <w:rPr>
          <w:rFonts w:hint="eastAsia"/>
          <w:color w:val="333333"/>
        </w:rPr>
        <w:t>优、健康发展的要求，合理安排土地供应，调节供需矛盾，形成与市场需求相适应的土地供应模式。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color w:val="333333"/>
        </w:rPr>
      </w:pPr>
      <w:r w:rsidRPr="00202404">
        <w:rPr>
          <w:rFonts w:hint="eastAsia"/>
          <w:color w:val="333333"/>
        </w:rPr>
        <w:t xml:space="preserve">　　（二）节约集约用地。结合省自然资源厅“双提升”行动计划，实施我市节地战略布局，深化落实控制总量、优化增量、盘活存量、用好流量、提升质量、科学</w:t>
      </w:r>
      <w:proofErr w:type="gramStart"/>
      <w:r w:rsidRPr="00202404">
        <w:rPr>
          <w:rFonts w:hint="eastAsia"/>
          <w:color w:val="333333"/>
        </w:rPr>
        <w:t>考量</w:t>
      </w:r>
      <w:proofErr w:type="gramEnd"/>
      <w:r w:rsidRPr="00202404">
        <w:rPr>
          <w:rFonts w:hint="eastAsia"/>
          <w:color w:val="333333"/>
        </w:rPr>
        <w:t>等举措，在更高水平上推进土地节约集约利用，更好地保障我市社会经济发展。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color w:val="333333"/>
        </w:rPr>
      </w:pPr>
      <w:r w:rsidRPr="00202404">
        <w:rPr>
          <w:rFonts w:hint="eastAsia"/>
          <w:color w:val="333333"/>
        </w:rPr>
        <w:t xml:space="preserve">　　（三）有保有压。合理安排新增建设用地计划，优先保障基础设施、民生工程、战略性新兴产业等用地，支持新产业、新业态发展用地，严格限制产能过剩和重复建设项目用地，着力保障社会经济发展合理需求，加快促进民生改善、城市承载力提升、产业转型升级。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color w:val="333333"/>
        </w:rPr>
      </w:pPr>
      <w:r w:rsidRPr="00202404">
        <w:rPr>
          <w:rFonts w:hint="eastAsia"/>
          <w:color w:val="333333"/>
        </w:rPr>
        <w:lastRenderedPageBreak/>
        <w:t xml:space="preserve">　　（四）依法规范。严格执行国家土地供应政策，规范土地供应方式；严格执行土地使用标准，充分发挥市场对土地资源配置的基础性作用，促进土地利用规范有序。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color w:val="333333"/>
        </w:rPr>
      </w:pPr>
      <w:r w:rsidRPr="00202404">
        <w:rPr>
          <w:rFonts w:hint="eastAsia"/>
          <w:color w:val="333333"/>
        </w:rPr>
        <w:t xml:space="preserve">　　</w:t>
      </w:r>
      <w:r w:rsidRPr="00202404">
        <w:rPr>
          <w:rFonts w:hint="eastAsia"/>
          <w:b/>
          <w:color w:val="333333"/>
        </w:rPr>
        <w:t>二、国有建设用地供应计划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color w:val="333333"/>
        </w:rPr>
      </w:pPr>
      <w:r w:rsidRPr="00202404">
        <w:rPr>
          <w:rFonts w:hint="eastAsia"/>
          <w:color w:val="333333"/>
        </w:rPr>
        <w:t xml:space="preserve">　　（一）供应总量和结构。我市市区2020年土地供应总量2653公顷，结构如下：商服用地50公顷（市区统筹，不分至各区），工矿仓储用地788公顷，科研设计用地47公顷，住宅用地520公顷（</w:t>
      </w:r>
      <w:r w:rsidR="009A343A" w:rsidRPr="009A343A">
        <w:rPr>
          <w:color w:val="333333"/>
        </w:rPr>
        <w:t>其中商品住宅用地300公顷，拆迁安置房用地148公顷，经济适用房用地30公顷，其他保障房用地42公顷</w:t>
      </w:r>
      <w:r w:rsidRPr="00202404">
        <w:rPr>
          <w:rFonts w:hint="eastAsia"/>
          <w:color w:val="333333"/>
        </w:rPr>
        <w:t>），公共管理与公共服务用地272公顷，交通运输用地878公顷，水域及水利设施用地58公顷，旅游设施用地20公顷，文化产业用地19公顷。其中以一级市场协议、</w:t>
      </w:r>
      <w:proofErr w:type="gramStart"/>
      <w:r w:rsidRPr="00202404">
        <w:rPr>
          <w:rFonts w:hint="eastAsia"/>
          <w:color w:val="333333"/>
        </w:rPr>
        <w:t>招拍挂方式</w:t>
      </w:r>
      <w:proofErr w:type="gramEnd"/>
      <w:r w:rsidRPr="00202404">
        <w:rPr>
          <w:rFonts w:hint="eastAsia"/>
          <w:color w:val="333333"/>
        </w:rPr>
        <w:t>出让（租赁）或划拨方式开展低效用地再开发的，合计416公顷。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color w:val="333333"/>
        </w:rPr>
      </w:pPr>
      <w:r w:rsidRPr="00202404">
        <w:rPr>
          <w:rFonts w:hint="eastAsia"/>
          <w:color w:val="333333"/>
        </w:rPr>
        <w:t xml:space="preserve">　　（二）供应布局。市本级土地供应97公顷，其中商服用地50公顷（市区统筹），商品住宅用地40公顷；梁溪区土地供应168公顷，其中商品住宅用地30公顷，工矿仓储用地38公顷，公共管理与公共服务用地21公顷，交通运输用地33公顷；</w:t>
      </w:r>
      <w:proofErr w:type="gramStart"/>
      <w:r w:rsidRPr="00202404">
        <w:rPr>
          <w:rFonts w:hint="eastAsia"/>
          <w:color w:val="333333"/>
        </w:rPr>
        <w:t>锡山区</w:t>
      </w:r>
      <w:proofErr w:type="gramEnd"/>
      <w:r w:rsidRPr="00202404">
        <w:rPr>
          <w:rFonts w:hint="eastAsia"/>
          <w:color w:val="333333"/>
        </w:rPr>
        <w:t>土地供应452公顷，其中商品住宅用地50公顷，工矿仓储用地248公顷，公共管理与公共服务用地29公顷，交通运输用地88公顷；</w:t>
      </w:r>
      <w:proofErr w:type="gramStart"/>
      <w:r w:rsidRPr="00202404">
        <w:rPr>
          <w:rFonts w:hint="eastAsia"/>
          <w:color w:val="333333"/>
        </w:rPr>
        <w:t>惠山区</w:t>
      </w:r>
      <w:proofErr w:type="gramEnd"/>
      <w:r w:rsidRPr="00202404">
        <w:rPr>
          <w:rFonts w:hint="eastAsia"/>
          <w:color w:val="333333"/>
        </w:rPr>
        <w:t>土地供应675公顷，其中商品住宅用地50公顷，工矿仓储用地256公顷，公共管理与公共服务用地78公顷，交通运输用地236公顷；</w:t>
      </w:r>
      <w:proofErr w:type="gramStart"/>
      <w:r w:rsidRPr="00202404">
        <w:rPr>
          <w:rFonts w:hint="eastAsia"/>
          <w:color w:val="333333"/>
        </w:rPr>
        <w:t>滨湖区</w:t>
      </w:r>
      <w:proofErr w:type="gramEnd"/>
      <w:r w:rsidRPr="00202404">
        <w:rPr>
          <w:rFonts w:hint="eastAsia"/>
          <w:color w:val="333333"/>
        </w:rPr>
        <w:t>土地供应221公顷，其中商品住宅用地45公顷，工矿仓储用地63公顷，公共管理与公共服务用地6公顷，交通运输用地51公顷；</w:t>
      </w:r>
      <w:proofErr w:type="gramStart"/>
      <w:r w:rsidRPr="00202404">
        <w:rPr>
          <w:rFonts w:hint="eastAsia"/>
          <w:color w:val="333333"/>
        </w:rPr>
        <w:t>新吴区土地</w:t>
      </w:r>
      <w:proofErr w:type="gramEnd"/>
      <w:r w:rsidRPr="00202404">
        <w:rPr>
          <w:rFonts w:hint="eastAsia"/>
          <w:color w:val="333333"/>
        </w:rPr>
        <w:t>供应720公顷，其中商品住宅用地50公顷，工矿仓储用地180公顷，公共管理与公共服务用地92公顷，交通运输用地269公顷；经开区土地供应319公顷，其中商品住宅用地35公顷，工矿仓储用地4公顷，公共管理与公共服务用地46公顷，交通运输用地203公顷。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color w:val="333333"/>
        </w:rPr>
      </w:pPr>
      <w:r w:rsidRPr="00202404">
        <w:rPr>
          <w:rFonts w:hint="eastAsia"/>
          <w:color w:val="333333"/>
        </w:rPr>
        <w:t xml:space="preserve">　　</w:t>
      </w:r>
      <w:r w:rsidRPr="00202404">
        <w:rPr>
          <w:rFonts w:hint="eastAsia"/>
          <w:b/>
          <w:color w:val="333333"/>
        </w:rPr>
        <w:t>三、计划编制政策导向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color w:val="333333"/>
        </w:rPr>
      </w:pPr>
      <w:r w:rsidRPr="00202404">
        <w:rPr>
          <w:rFonts w:hint="eastAsia"/>
          <w:color w:val="333333"/>
        </w:rPr>
        <w:t xml:space="preserve">　　（一）优化土地市场结构。在总量控制前提下，根据2019年经营性用地计划执行情况、房地产市场存量、用地需求，合理分配经营性用地计划，将有限的土地资源向市场比较稳健的地区倾斜，向特色创新型地产倾斜。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color w:val="333333"/>
        </w:rPr>
      </w:pPr>
      <w:r w:rsidRPr="00202404">
        <w:rPr>
          <w:rFonts w:hint="eastAsia"/>
          <w:color w:val="333333"/>
        </w:rPr>
        <w:lastRenderedPageBreak/>
        <w:t xml:space="preserve">　　（二）优化空间布局。引导土地立体开发利用，促进土地综合利用。根据市区主体功能分区要求，突出城市核心区、重点地区建设，增强新城集聚、集约、配套功能，切实提高核心区辐射效应和带动作用，形成城乡一体化发展体系，实现国民经济和社会发展规划、城乡建设规划、土地利用总体规划、生态保护规划多</w:t>
      </w:r>
      <w:proofErr w:type="gramStart"/>
      <w:r w:rsidRPr="00202404">
        <w:rPr>
          <w:rFonts w:hint="eastAsia"/>
          <w:color w:val="333333"/>
        </w:rPr>
        <w:t>规</w:t>
      </w:r>
      <w:proofErr w:type="gramEnd"/>
      <w:r w:rsidRPr="00202404">
        <w:rPr>
          <w:rFonts w:hint="eastAsia"/>
          <w:color w:val="333333"/>
        </w:rPr>
        <w:t>融合的空间布局。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color w:val="333333"/>
        </w:rPr>
      </w:pPr>
      <w:r w:rsidRPr="00202404">
        <w:rPr>
          <w:rFonts w:hint="eastAsia"/>
          <w:color w:val="333333"/>
        </w:rPr>
        <w:t xml:space="preserve">　　（三）优化产业结构。优化市区产业空间布局，整合开发区和工业集中区土地资源，科学规划工业园区产业结构，推动同类产业向特色开发区和工业集中区集聚。根据无锡产业升级计划、工业用地调查和</w:t>
      </w:r>
      <w:proofErr w:type="gramStart"/>
      <w:r w:rsidRPr="00202404">
        <w:rPr>
          <w:rFonts w:hint="eastAsia"/>
          <w:color w:val="333333"/>
        </w:rPr>
        <w:t>地理国情</w:t>
      </w:r>
      <w:proofErr w:type="gramEnd"/>
      <w:r w:rsidRPr="00202404">
        <w:rPr>
          <w:rFonts w:hint="eastAsia"/>
          <w:color w:val="333333"/>
        </w:rPr>
        <w:t>普查成果，合理布局全市开发区规模、结构和类型，重点发展物联网、电子信息、环保、新材料、生物制药、高端装备制造、现代物流等新兴产业和传统优势产业。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color w:val="333333"/>
        </w:rPr>
      </w:pPr>
      <w:r w:rsidRPr="00202404">
        <w:rPr>
          <w:rFonts w:hint="eastAsia"/>
          <w:color w:val="333333"/>
        </w:rPr>
        <w:t xml:space="preserve">　　（四）促进节地水平和产出效益双提升。按照提质增效、分类处置原则，调整盘活批而未供、供而未用、用而不足存量建设用地，提高存量用地在土地供应中占比。充分利用和消化可利用土地资源，普通商品住宅和商业开发原则上在存量用地中解决。实施工矿仓储用地差别化供应，积极稳妥推进高标准厂房建设，鼓励和引导小</w:t>
      </w:r>
      <w:proofErr w:type="gramStart"/>
      <w:r w:rsidRPr="00202404">
        <w:rPr>
          <w:rFonts w:hint="eastAsia"/>
          <w:color w:val="333333"/>
        </w:rPr>
        <w:t>微企业</w:t>
      </w:r>
      <w:proofErr w:type="gramEnd"/>
      <w:r w:rsidRPr="00202404">
        <w:rPr>
          <w:rFonts w:hint="eastAsia"/>
          <w:color w:val="333333"/>
        </w:rPr>
        <w:t>入驻高标准厂房。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color w:val="333333"/>
        </w:rPr>
      </w:pPr>
      <w:r w:rsidRPr="00202404">
        <w:rPr>
          <w:rFonts w:hint="eastAsia"/>
          <w:color w:val="333333"/>
        </w:rPr>
        <w:t xml:space="preserve">　　（五）提升城市功能。推进区域城市化和城市现代化进程，不断增强城市核心区综合服务功能。鼓励市场主体参与城市改造，加快中心城区城中村、低洼地区改造和老新村整治，提升中心城区现代化、国际化水平。突出重点功能区项目培育，充分发挥各区新</w:t>
      </w:r>
      <w:proofErr w:type="gramStart"/>
      <w:r w:rsidRPr="00202404">
        <w:rPr>
          <w:rFonts w:hint="eastAsia"/>
          <w:color w:val="333333"/>
        </w:rPr>
        <w:t>城建设对产业</w:t>
      </w:r>
      <w:proofErr w:type="gramEnd"/>
      <w:r w:rsidRPr="00202404">
        <w:rPr>
          <w:rFonts w:hint="eastAsia"/>
          <w:color w:val="333333"/>
        </w:rPr>
        <w:t>转型示范导向和龙头带动作用。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color w:val="333333"/>
        </w:rPr>
      </w:pPr>
      <w:r w:rsidRPr="00202404">
        <w:rPr>
          <w:rFonts w:hint="eastAsia"/>
          <w:color w:val="333333"/>
        </w:rPr>
        <w:t xml:space="preserve">　　（六）切实改善民生。优化城乡资源要素配置，有序开展村庄优化调整和土地整理，进一步加快工业向园区集中、居住向社区集中、土地向适度规模经营集中步伐。优先安排农村基础设施和环境建设，统筹规划建设农村医疗、教育、科技、文化、体育等社会公共服务设施，提高农村公共服务水平。推进轨道交通场站、交通枢纽、公共停车场等公共设施综合开发利用。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color w:val="333333"/>
        </w:rPr>
      </w:pPr>
      <w:r w:rsidRPr="00202404">
        <w:rPr>
          <w:rFonts w:hint="eastAsia"/>
          <w:color w:val="333333"/>
        </w:rPr>
        <w:t xml:space="preserve">　　</w:t>
      </w:r>
      <w:r w:rsidRPr="00202404">
        <w:rPr>
          <w:rFonts w:hint="eastAsia"/>
          <w:b/>
          <w:color w:val="333333"/>
        </w:rPr>
        <w:t>四、计划实施保障措施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color w:val="333333"/>
        </w:rPr>
      </w:pPr>
      <w:r w:rsidRPr="00202404">
        <w:rPr>
          <w:rFonts w:hint="eastAsia"/>
          <w:color w:val="333333"/>
        </w:rPr>
        <w:t xml:space="preserve">　　（一）严格执行经营性用地计划管控。一是严控普通商业用地供应，积极保障重大项目，提高特色产业比例，对重大项目和旅游、文化、养老、体育等特色</w:t>
      </w:r>
      <w:r w:rsidRPr="00202404">
        <w:rPr>
          <w:rFonts w:hint="eastAsia"/>
          <w:color w:val="333333"/>
        </w:rPr>
        <w:lastRenderedPageBreak/>
        <w:t>产业项目应保尽保，将发展重点转移到有长远竞争优势的产业。二是制定与市场需求相适应的商品住宅用地出让计划，合理安排拆迁安置房、经济适用房、共有产权住房等保障性住房用地计划。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color w:val="333333"/>
        </w:rPr>
      </w:pPr>
      <w:r w:rsidRPr="00202404">
        <w:rPr>
          <w:rFonts w:hint="eastAsia"/>
          <w:color w:val="333333"/>
        </w:rPr>
        <w:t xml:space="preserve">　　（二）强化各部门衔接。市自然资源规划、发展改革、住房城乡建设等部门应加强沟通合作，探索建设房地产大数据系统，及时协调解决计划实施过程中的问题，加快审批列入计划内项目，支持各区政府推进计划实施。各区政府应加强规划设计、征地拆迁、房屋征收等前期工作协调，及时主动与相关部门沟通，确保计划实施。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color w:val="333333"/>
        </w:rPr>
      </w:pPr>
      <w:r w:rsidRPr="00202404">
        <w:rPr>
          <w:rFonts w:hint="eastAsia"/>
          <w:color w:val="333333"/>
        </w:rPr>
        <w:t xml:space="preserve">　　（三）强化建设用地全程监管。严格落实建设用地全程管理，促进地块按期开发建设。加大闲置土地处置力度，加强土地市场动态监测监管，加快推进诚信体系建设。构建节约用地长效机制，完善工业项目考核验收机制，建立节地综合考评制度。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color w:val="333333"/>
        </w:rPr>
      </w:pPr>
      <w:r w:rsidRPr="00202404">
        <w:rPr>
          <w:rFonts w:hint="eastAsia"/>
          <w:color w:val="333333"/>
        </w:rPr>
        <w:t xml:space="preserve">　　（四）强化计划执行跟踪落实。实时跟踪各区供应计划实施情况，其中经营性用地计划执行完成后，根据市场变化和需求，可适当增加经营性用地计划，经市政府批准后予以调整。</w:t>
      </w:r>
    </w:p>
    <w:p w:rsidR="00202404" w:rsidRPr="00202404" w:rsidRDefault="00202404" w:rsidP="00202404">
      <w:pPr>
        <w:pStyle w:val="a5"/>
        <w:shd w:val="clear" w:color="auto" w:fill="FFFFFF"/>
        <w:spacing w:before="163" w:beforeAutospacing="0" w:after="163" w:afterAutospacing="0" w:line="360" w:lineRule="auto"/>
        <w:rPr>
          <w:color w:val="333333"/>
        </w:rPr>
      </w:pPr>
      <w:r w:rsidRPr="00202404">
        <w:rPr>
          <w:rFonts w:hint="eastAsia"/>
          <w:color w:val="333333"/>
        </w:rPr>
        <w:t xml:space="preserve">　　本计划自颁布之日起执行。</w:t>
      </w:r>
    </w:p>
    <w:p w:rsidR="0045007E" w:rsidRDefault="0045007E"/>
    <w:sectPr w:rsidR="0045007E" w:rsidSect="009C46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007E" w:rsidRDefault="0045007E" w:rsidP="00202404">
      <w:r>
        <w:separator/>
      </w:r>
    </w:p>
  </w:endnote>
  <w:endnote w:type="continuationSeparator" w:id="1">
    <w:p w:rsidR="0045007E" w:rsidRDefault="0045007E" w:rsidP="002024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007E" w:rsidRDefault="0045007E" w:rsidP="00202404">
      <w:r>
        <w:separator/>
      </w:r>
    </w:p>
  </w:footnote>
  <w:footnote w:type="continuationSeparator" w:id="1">
    <w:p w:rsidR="0045007E" w:rsidRDefault="0045007E" w:rsidP="002024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2404"/>
    <w:rsid w:val="00202404"/>
    <w:rsid w:val="0045007E"/>
    <w:rsid w:val="009A343A"/>
    <w:rsid w:val="009C46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6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24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24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24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240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024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26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1477</Words>
  <Characters>1477</Characters>
  <Application>Microsoft Office Word</Application>
  <DocSecurity>0</DocSecurity>
  <Lines>64</Lines>
  <Paragraphs>25</Paragraphs>
  <ScaleCrop>false</ScaleCrop>
  <Company/>
  <LinksUpToDate>false</LinksUpToDate>
  <CharactersWithSpaces>2929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陈琳</dc:creator>
  <cp:keywords/>
  <dc:description/>
  <cp:lastModifiedBy>陈琳[自然资源开发利用处（自然资源所有者权益处）]</cp:lastModifiedBy>
  <cp:revision>3</cp:revision>
  <dcterms:created xsi:type="dcterms:W3CDTF">2020-08-18T02:54:00Z</dcterms:created>
  <dcterms:modified xsi:type="dcterms:W3CDTF">2020-08-20T02:57:00Z</dcterms:modified>
</cp:coreProperties>
</file>