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b w:val="0"/>
          <w:i w:val="0"/>
          <w:caps w:val="0"/>
          <w:color w:val="666666"/>
          <w:spacing w:val="0"/>
          <w:sz w:val="44"/>
          <w:szCs w:val="4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b w:val="0"/>
          <w:i w:val="0"/>
          <w:caps w:val="0"/>
          <w:color w:val="666666"/>
          <w:spacing w:val="0"/>
          <w:sz w:val="44"/>
          <w:szCs w:val="4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微软雅黑" w:hAnsi="微软雅黑" w:eastAsia="微软雅黑" w:cs="微软雅黑"/>
          <w:b w:val="0"/>
          <w:i w:val="0"/>
          <w:caps w:val="0"/>
          <w:color w:val="666666"/>
          <w:spacing w:val="0"/>
          <w:sz w:val="44"/>
          <w:szCs w:val="4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hint="eastAsia" w:ascii="仿宋" w:hAnsi="仿宋" w:eastAsia="仿宋" w:cs="仿宋"/>
          <w:b w:val="0"/>
          <w:kern w:val="2"/>
          <w:sz w:val="32"/>
          <w:szCs w:val="32"/>
          <w:lang w:val="en-US" w:eastAsia="zh-CN" w:bidi="ar-SA"/>
        </w:rPr>
      </w:pPr>
      <w:r>
        <w:rPr>
          <w:rFonts w:hint="eastAsia" w:ascii="仿宋" w:hAnsi="仿宋" w:eastAsia="仿宋" w:cs="仿宋"/>
          <w:b w:val="0"/>
          <w:kern w:val="2"/>
          <w:sz w:val="32"/>
          <w:szCs w:val="32"/>
          <w:lang w:val="en-US" w:eastAsia="zh-CN" w:bidi="ar-SA"/>
        </w:rPr>
        <w:t>锡农委【2018】143号</w:t>
      </w:r>
    </w:p>
    <w:p>
      <w:pPr>
        <w:rPr>
          <w:rFonts w:hint="eastAsia"/>
          <w:lang w:eastAsia="zh-CN"/>
        </w:rPr>
      </w:pPr>
    </w:p>
    <w:p>
      <w:pPr>
        <w:jc w:val="center"/>
        <w:rPr>
          <w:rFonts w:hint="eastAsia" w:asciiTheme="minorEastAsia" w:hAnsiTheme="minorEastAsia" w:eastAsiaTheme="minorEastAsia" w:cstheme="minorEastAsia"/>
          <w:sz w:val="44"/>
          <w:szCs w:val="44"/>
          <w:lang w:eastAsia="zh-CN"/>
        </w:rPr>
      </w:pPr>
      <w:r>
        <w:rPr>
          <w:rFonts w:hint="eastAsia" w:asciiTheme="minorEastAsia" w:hAnsiTheme="minorEastAsia" w:eastAsiaTheme="minorEastAsia" w:cstheme="minorEastAsia"/>
          <w:sz w:val="44"/>
          <w:szCs w:val="44"/>
          <w:lang w:eastAsia="zh-CN"/>
        </w:rPr>
        <w:t>关于利用全国农业远程教育平台开展2018年农业科技人员知识更新培训的通知</w:t>
      </w:r>
    </w:p>
    <w:p>
      <w:pPr>
        <w:rPr>
          <w:rFonts w:hint="eastAsia" w:ascii="仿宋" w:hAnsi="仿宋" w:eastAsia="仿宋" w:cs="仿宋"/>
          <w:sz w:val="32"/>
          <w:szCs w:val="32"/>
          <w:lang w:eastAsia="zh-CN"/>
        </w:rPr>
      </w:pPr>
    </w:p>
    <w:p>
      <w:pPr>
        <w:rPr>
          <w:rFonts w:hint="eastAsia" w:ascii="仿宋" w:hAnsi="仿宋" w:eastAsia="仿宋" w:cs="仿宋"/>
          <w:sz w:val="32"/>
          <w:szCs w:val="32"/>
          <w:lang w:eastAsia="zh-CN"/>
        </w:rPr>
      </w:pPr>
      <w:r>
        <w:rPr>
          <w:rFonts w:hint="eastAsia" w:ascii="仿宋" w:hAnsi="仿宋" w:eastAsia="仿宋" w:cs="仿宋"/>
          <w:sz w:val="32"/>
          <w:szCs w:val="32"/>
          <w:lang w:eastAsia="zh-CN"/>
        </w:rPr>
        <w:t>各市（县）、区农林（农水）局</w:t>
      </w:r>
      <w:r>
        <w:rPr>
          <w:rFonts w:hint="eastAsia" w:ascii="仿宋" w:hAnsi="仿宋" w:eastAsia="仿宋" w:cs="仿宋"/>
          <w:sz w:val="32"/>
          <w:szCs w:val="32"/>
          <w:lang w:val="en-US" w:eastAsia="zh-CN"/>
        </w:rPr>
        <w:t>,有关单位</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根据省农委《关于利用全国农业远程教育平台开展2018年农业科技人员知识更新培训的通知》（苏农办人【2018】1号）文件要求，现就利用远程教育平台，做好我市</w:t>
      </w:r>
      <w:r>
        <w:rPr>
          <w:rFonts w:hint="eastAsia" w:ascii="仿宋" w:hAnsi="仿宋" w:eastAsia="仿宋" w:cs="仿宋"/>
          <w:sz w:val="32"/>
          <w:szCs w:val="32"/>
          <w:lang w:eastAsia="zh-CN"/>
        </w:rPr>
        <w:t>农业科技人员知识更新培训工作通知如下</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 </w:t>
      </w:r>
    </w:p>
    <w:p>
      <w:pPr>
        <w:rPr>
          <w:rFonts w:hint="eastAsia" w:ascii="黑体" w:hAnsi="黑体" w:eastAsia="黑体" w:cs="黑体"/>
          <w:sz w:val="32"/>
          <w:szCs w:val="32"/>
          <w:lang w:eastAsia="zh-CN"/>
        </w:rPr>
      </w:pPr>
      <w:r>
        <w:rPr>
          <w:rFonts w:hint="eastAsia" w:ascii="仿宋" w:hAnsi="仿宋" w:eastAsia="仿宋" w:cs="仿宋"/>
          <w:b w:val="0"/>
          <w:i w:val="0"/>
          <w:caps w:val="0"/>
          <w:color w:val="666666"/>
          <w:spacing w:val="0"/>
          <w:sz w:val="32"/>
          <w:szCs w:val="32"/>
        </w:rPr>
        <w:t>　</w:t>
      </w:r>
      <w:r>
        <w:rPr>
          <w:rFonts w:hint="eastAsia" w:ascii="仿宋" w:hAnsi="仿宋" w:eastAsia="仿宋" w:cs="仿宋"/>
          <w:sz w:val="32"/>
          <w:szCs w:val="32"/>
          <w:lang w:eastAsia="zh-CN"/>
        </w:rPr>
        <w:t>　</w:t>
      </w:r>
      <w:r>
        <w:rPr>
          <w:rFonts w:hint="eastAsia" w:ascii="黑体" w:hAnsi="黑体" w:eastAsia="黑体" w:cs="黑体"/>
          <w:sz w:val="32"/>
          <w:szCs w:val="32"/>
          <w:lang w:eastAsia="zh-CN"/>
        </w:rPr>
        <w:t>一、培训目标 </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全面贯彻习近平新时代中国特色社会主义思想和党的十九大精神，紧紧围绕实施乡村振兴战略，加快推进农业转型升级，组织广大农业科技人员及时了解掌握中央强农惠农富农政策及现代农业科技新知识新方法，牢固树立新发展理念，切实提高开展科研和推广工作的能力水平，为乡村振兴和农业农村现代化提供强有力的人才支撑。 </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w:t>
      </w:r>
      <w:r>
        <w:rPr>
          <w:rFonts w:hint="eastAsia" w:ascii="黑体" w:hAnsi="黑体" w:eastAsia="黑体" w:cs="黑体"/>
          <w:sz w:val="32"/>
          <w:szCs w:val="32"/>
          <w:lang w:eastAsia="zh-CN"/>
        </w:rPr>
        <w:t>二、培训对象</w:t>
      </w:r>
      <w:r>
        <w:rPr>
          <w:rFonts w:hint="eastAsia" w:ascii="仿宋" w:hAnsi="仿宋" w:eastAsia="仿宋" w:cs="仿宋"/>
          <w:sz w:val="32"/>
          <w:szCs w:val="32"/>
          <w:lang w:eastAsia="zh-CN"/>
        </w:rPr>
        <w:t> </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市、市（县）区、乡（镇）农业事业单位和农业技术推广机构的农业科技人员。 </w:t>
      </w:r>
    </w:p>
    <w:p>
      <w:pPr>
        <w:rPr>
          <w:rFonts w:hint="eastAsia" w:ascii="黑体" w:hAnsi="黑体" w:eastAsia="黑体" w:cs="黑体"/>
          <w:sz w:val="32"/>
          <w:szCs w:val="32"/>
          <w:lang w:eastAsia="zh-CN"/>
        </w:rPr>
      </w:pPr>
      <w:r>
        <w:rPr>
          <w:rFonts w:hint="eastAsia" w:ascii="仿宋" w:hAnsi="仿宋" w:eastAsia="仿宋" w:cs="仿宋"/>
          <w:sz w:val="32"/>
          <w:szCs w:val="32"/>
          <w:lang w:eastAsia="zh-CN"/>
        </w:rPr>
        <w:t>　　</w:t>
      </w:r>
      <w:r>
        <w:rPr>
          <w:rFonts w:hint="eastAsia" w:ascii="黑体" w:hAnsi="黑体" w:eastAsia="黑体" w:cs="黑体"/>
          <w:sz w:val="32"/>
          <w:szCs w:val="32"/>
          <w:lang w:eastAsia="zh-CN"/>
        </w:rPr>
        <w:t>三、培训形式 </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由农业农村部通过全国农业远程教育平台，聘请相关领导、专家、技术人员、</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全国十佳农民</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代表等，采取授课、访谈、座谈的形式，以互联网同步直播方式，通过农业农村部网站首页（</w:t>
      </w:r>
      <w:r>
        <w:rPr>
          <w:rFonts w:hint="eastAsia" w:ascii="仿宋" w:hAnsi="仿宋" w:eastAsia="仿宋" w:cs="仿宋"/>
          <w:sz w:val="32"/>
          <w:szCs w:val="32"/>
          <w:lang w:val="en-US" w:eastAsia="zh-CN"/>
        </w:rPr>
        <w:t>www.moa.gov.cn</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w:t>
      </w:r>
      <w:r>
        <w:rPr>
          <w:rFonts w:hint="eastAsia" w:ascii="仿宋" w:hAnsi="仿宋" w:eastAsia="仿宋" w:cs="仿宋"/>
          <w:sz w:val="32"/>
          <w:szCs w:val="32"/>
          <w:lang w:eastAsia="zh-CN"/>
        </w:rPr>
        <w:t>“农业科技人员知识更新</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专题参加网上集中培训。 </w:t>
      </w:r>
    </w:p>
    <w:p>
      <w:pPr>
        <w:rPr>
          <w:rFonts w:hint="eastAsia" w:ascii="黑体" w:hAnsi="黑体" w:eastAsia="黑体" w:cs="黑体"/>
          <w:sz w:val="32"/>
          <w:szCs w:val="32"/>
          <w:lang w:eastAsia="zh-CN"/>
        </w:rPr>
      </w:pPr>
      <w:r>
        <w:rPr>
          <w:rFonts w:hint="eastAsia" w:ascii="仿宋" w:hAnsi="仿宋" w:eastAsia="仿宋" w:cs="仿宋"/>
          <w:sz w:val="32"/>
          <w:szCs w:val="32"/>
          <w:lang w:eastAsia="zh-CN"/>
        </w:rPr>
        <w:t>　　</w:t>
      </w: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eastAsia="zh-CN"/>
        </w:rPr>
        <w:t>四、培训时间 </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w:t>
      </w:r>
      <w:r>
        <w:rPr>
          <w:rFonts w:hint="eastAsia" w:ascii="仿宋" w:hAnsi="仿宋" w:eastAsia="仿宋" w:cs="仿宋"/>
          <w:sz w:val="32"/>
          <w:szCs w:val="32"/>
          <w:lang w:val="en-US" w:eastAsia="zh-CN"/>
        </w:rPr>
        <w:t xml:space="preserve"> 2018</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4—12</w:t>
      </w:r>
      <w:r>
        <w:rPr>
          <w:rFonts w:hint="eastAsia" w:ascii="仿宋" w:hAnsi="仿宋" w:eastAsia="仿宋" w:cs="仿宋"/>
          <w:sz w:val="32"/>
          <w:szCs w:val="32"/>
          <w:lang w:eastAsia="zh-CN"/>
        </w:rPr>
        <w:t>月，共举办</w:t>
      </w:r>
      <w:r>
        <w:rPr>
          <w:rFonts w:hint="eastAsia" w:ascii="仿宋" w:hAnsi="仿宋" w:eastAsia="仿宋" w:cs="仿宋"/>
          <w:sz w:val="32"/>
          <w:szCs w:val="32"/>
          <w:lang w:val="en-US" w:eastAsia="zh-CN"/>
        </w:rPr>
        <w:t>20</w:t>
      </w:r>
      <w:r>
        <w:rPr>
          <w:rFonts w:hint="eastAsia" w:ascii="仿宋" w:hAnsi="仿宋" w:eastAsia="仿宋" w:cs="仿宋"/>
          <w:sz w:val="32"/>
          <w:szCs w:val="32"/>
          <w:lang w:eastAsia="zh-CN"/>
        </w:rPr>
        <w:t>期培训班，每期培训班具体时间和培训内容将提前两周在农业农村部网站和中国农业人才网（</w:t>
      </w:r>
      <w:r>
        <w:rPr>
          <w:rFonts w:hint="eastAsia" w:ascii="仿宋" w:hAnsi="仿宋" w:eastAsia="仿宋" w:cs="仿宋"/>
          <w:sz w:val="32"/>
          <w:szCs w:val="32"/>
          <w:lang w:val="en-US" w:eastAsia="zh-CN"/>
        </w:rPr>
        <w:t>www.agrihr.gov.cn</w:t>
      </w:r>
      <w:r>
        <w:rPr>
          <w:rFonts w:hint="eastAsia" w:ascii="仿宋" w:hAnsi="仿宋" w:eastAsia="仿宋" w:cs="仿宋"/>
          <w:sz w:val="32"/>
          <w:szCs w:val="32"/>
          <w:lang w:eastAsia="zh-CN"/>
        </w:rPr>
        <w:t>）公布，培训课程安排详见附件</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 </w:t>
      </w:r>
    </w:p>
    <w:p>
      <w:pPr>
        <w:rPr>
          <w:rFonts w:hint="eastAsia" w:ascii="黑体" w:hAnsi="黑体" w:eastAsia="黑体" w:cs="黑体"/>
          <w:sz w:val="32"/>
          <w:szCs w:val="32"/>
          <w:lang w:eastAsia="zh-CN"/>
        </w:rPr>
      </w:pPr>
      <w:r>
        <w:rPr>
          <w:rFonts w:hint="eastAsia" w:ascii="仿宋" w:hAnsi="仿宋" w:eastAsia="仿宋" w:cs="仿宋"/>
          <w:sz w:val="32"/>
          <w:szCs w:val="32"/>
          <w:lang w:eastAsia="zh-CN"/>
        </w:rPr>
        <w:t>　　</w:t>
      </w: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eastAsia="zh-CN"/>
        </w:rPr>
        <w:t>五、有关要求 </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高度重视，强化组织领导。各市（县）区农林（农水）局和有关单位要充分认识加强农业科技人员知识更新培训的重要意义，要对培训工作作出具体部署，提出明确要求，加强组织协调，扎实做好各项工作。 请各市（县）区农林（农水</w:t>
      </w:r>
      <w:bookmarkStart w:id="0" w:name="_GoBack"/>
      <w:bookmarkEnd w:id="0"/>
      <w:r>
        <w:rPr>
          <w:rFonts w:hint="eastAsia" w:ascii="仿宋" w:hAnsi="仿宋" w:eastAsia="仿宋" w:cs="仿宋"/>
          <w:sz w:val="32"/>
          <w:szCs w:val="32"/>
          <w:lang w:eastAsia="zh-CN"/>
        </w:rPr>
        <w:t>）局和有关单位于</w:t>
      </w:r>
      <w:r>
        <w:rPr>
          <w:rFonts w:hint="eastAsia" w:ascii="仿宋" w:hAnsi="仿宋" w:eastAsia="仿宋" w:cs="仿宋"/>
          <w:sz w:val="32"/>
          <w:szCs w:val="32"/>
          <w:lang w:val="en-US" w:eastAsia="zh-CN"/>
        </w:rPr>
        <w:t>6月1日前将牵头科（室、站）单位和联系人信息表（附件2）报市农委科教处。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精心组织，强化监督考核。各市（县）区农林（农水）局和有关单位要根据每期培训内容，有针对性组织农业科技人员及时参加网上培训。要认真做好培训的管理考核工作，指派专人负责培训的跟踪服务，如实记载参训人员的出勤情况，并将参训时间计入继续教育学时数。 </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　　（三）认真总结，强化评估反馈。各市（县）区农林（农水）局和有关单位应及时对培训效果进行评估，并于每月</w:t>
      </w:r>
      <w:r>
        <w:rPr>
          <w:rFonts w:hint="eastAsia" w:ascii="仿宋" w:hAnsi="仿宋" w:eastAsia="仿宋" w:cs="仿宋"/>
          <w:sz w:val="32"/>
          <w:szCs w:val="32"/>
          <w:lang w:val="en-US" w:eastAsia="zh-CN"/>
        </w:rPr>
        <w:t>22日</w:t>
      </w:r>
      <w:r>
        <w:rPr>
          <w:rFonts w:hint="eastAsia" w:ascii="仿宋" w:hAnsi="仿宋" w:eastAsia="仿宋" w:cs="仿宋"/>
          <w:sz w:val="32"/>
          <w:szCs w:val="32"/>
          <w:lang w:eastAsia="zh-CN"/>
        </w:rPr>
        <w:t>前将参训人员名册（附件</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、参训人员意见反馈表（附件</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）、培训现场图片等资料填写汇总后，以电子文档形式报送</w:t>
      </w:r>
      <w:r>
        <w:rPr>
          <w:rFonts w:hint="eastAsia" w:ascii="仿宋" w:hAnsi="仿宋" w:eastAsia="仿宋" w:cs="仿宋"/>
          <w:sz w:val="32"/>
          <w:szCs w:val="32"/>
          <w:lang w:val="en-US" w:eastAsia="zh-CN"/>
        </w:rPr>
        <w:t>市农委科教处</w:t>
      </w:r>
      <w:r>
        <w:rPr>
          <w:rFonts w:hint="eastAsia" w:ascii="仿宋" w:hAnsi="仿宋" w:eastAsia="仿宋" w:cs="仿宋"/>
          <w:sz w:val="32"/>
          <w:szCs w:val="32"/>
          <w:lang w:eastAsia="zh-CN"/>
        </w:rPr>
        <w:t>。 </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联系人及联系方式：</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市农委科教处王殿海，电话：0510-81822925</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附件1、培训课程安排</w:t>
      </w:r>
    </w:p>
    <w:p>
      <w:pPr>
        <w:numPr>
          <w:ilvl w:val="0"/>
          <w:numId w:val="1"/>
        </w:numPr>
        <w:ind w:firstLine="1280" w:firstLineChars="4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牵头负责单位及联系人信息表</w:t>
      </w:r>
    </w:p>
    <w:p>
      <w:pPr>
        <w:numPr>
          <w:ilvl w:val="0"/>
          <w:numId w:val="1"/>
        </w:numPr>
        <w:ind w:firstLine="1280" w:firstLineChars="4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参训人员名册</w:t>
      </w:r>
    </w:p>
    <w:p>
      <w:pPr>
        <w:numPr>
          <w:ilvl w:val="0"/>
          <w:numId w:val="1"/>
        </w:numPr>
        <w:ind w:firstLine="1280" w:firstLineChars="4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参训人员意见反馈表</w:t>
      </w:r>
    </w:p>
    <w:p>
      <w:pPr>
        <w:ind w:firstLine="64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eastAsia="zh-CN"/>
        </w:rPr>
      </w:pPr>
      <w:r>
        <w:rPr>
          <w:rFonts w:hint="eastAsia" w:ascii="仿宋" w:hAnsi="仿宋" w:eastAsia="仿宋" w:cs="仿宋"/>
          <w:sz w:val="32"/>
          <w:szCs w:val="32"/>
          <w:lang w:eastAsia="zh-CN"/>
        </w:rPr>
        <w:t>无锡市农业委员会</w:t>
      </w:r>
    </w:p>
    <w:p>
      <w:pPr>
        <w:ind w:firstLine="4480" w:firstLineChars="14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2018年5月30日</w:t>
      </w: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sz w:val="32"/>
        </w:rPr>
        <mc:AlternateContent>
          <mc:Choice Requires="wps">
            <w:drawing>
              <wp:anchor distT="0" distB="0" distL="114300" distR="114300" simplePos="0" relativeHeight="251658240" behindDoc="0" locked="0" layoutInCell="1" allowOverlap="1">
                <wp:simplePos x="0" y="0"/>
                <wp:positionH relativeFrom="column">
                  <wp:posOffset>-191135</wp:posOffset>
                </wp:positionH>
                <wp:positionV relativeFrom="paragraph">
                  <wp:posOffset>393700</wp:posOffset>
                </wp:positionV>
                <wp:extent cx="5829300" cy="0"/>
                <wp:effectExtent l="0" t="0" r="0" b="0"/>
                <wp:wrapNone/>
                <wp:docPr id="2" name="直接连接符 2"/>
                <wp:cNvGraphicFramePr/>
                <a:graphic xmlns:a="http://schemas.openxmlformats.org/drawingml/2006/main">
                  <a:graphicData uri="http://schemas.microsoft.com/office/word/2010/wordprocessingShape">
                    <wps:wsp>
                      <wps:cNvCnPr/>
                      <wps:spPr>
                        <a:xfrm>
                          <a:off x="923290" y="8804275"/>
                          <a:ext cx="58293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5.05pt;margin-top:31pt;height:0pt;width:459pt;z-index:251658240;mso-width-relative:page;mso-height-relative:page;" filled="f" stroked="t" coordsize="21600,21600" o:gfxdata="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sDTpcdgAAAAJAQAADwAAAAAAAAABACAA&#10;AAAiAAAAZHJzL2Rvd25yZXYueG1sUEsBAhQAFAAAAAgAh07iQILvPrPUAQAAbwMAAA4AAAAAAAAA&#10;AQAgAAAAJwEAAGRycy9lMm9Eb2MueG1sUEsFBgAAAAAGAAYAWQEAAG0FAAAAAA==&#10;">
                <v:fill on="f" focussize="0,0"/>
                <v:stroke weight="1pt" color="#000000 [3213]" miterlimit="8" joinstyle="miter"/>
                <v:imagedata o:title=""/>
                <o:lock v:ext="edit" aspectratio="f"/>
              </v:line>
            </w:pict>
          </mc:Fallback>
        </mc:AlternateContent>
      </w:r>
    </w:p>
    <w:p>
      <w:pPr>
        <w:rPr>
          <w:rFonts w:hint="eastAsia" w:ascii="仿宋" w:hAnsi="仿宋" w:eastAsia="仿宋" w:cs="仿宋"/>
          <w:sz w:val="32"/>
          <w:szCs w:val="32"/>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-238760</wp:posOffset>
                </wp:positionH>
                <wp:positionV relativeFrom="paragraph">
                  <wp:posOffset>393700</wp:posOffset>
                </wp:positionV>
                <wp:extent cx="58293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82930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8pt;margin-top:31pt;height:0pt;width:459pt;z-index:251659264;mso-width-relative:page;mso-height-relative:page;" filled="f" stroked="t" coordsize="21600,21600" o:gfxdata="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lHXey2AAAAAkBAAAPAAAAAAAAAAEAIAAAACIAAABkcnMvZG93&#10;bnJldi54bWxQSwECFAAUAAAACACHTuJAx3UVascBAABkAwAADgAAAAAAAAABACAAAAAnAQAAZHJz&#10;L2Uyb0RvYy54bWxQSwUGAAAAAAYABgBZAQAAYAUAAAAA&#10;">
                <v:fill on="f" focussize="0,0"/>
                <v:stroke weight="1pt" color="#000000 [3213]" miterlimit="8" joinstyle="miter"/>
                <v:imagedata o:title=""/>
                <o:lock v:ext="edit" aspectratio="f"/>
              </v:line>
            </w:pict>
          </mc:Fallback>
        </mc:AlternateContent>
      </w:r>
      <w:r>
        <w:rPr>
          <w:rFonts w:hint="eastAsia" w:ascii="仿宋" w:hAnsi="仿宋" w:eastAsia="仿宋" w:cs="仿宋"/>
          <w:sz w:val="32"/>
          <w:szCs w:val="32"/>
          <w:lang w:val="en-US" w:eastAsia="zh-CN"/>
        </w:rPr>
        <w:t>无锡市农业委员会办公室           2018年5月30日印发</w:t>
      </w:r>
    </w:p>
    <w:p>
      <w:pPr>
        <w:rPr>
          <w:rFonts w:eastAsia="黑体"/>
          <w:sz w:val="32"/>
          <w:szCs w:val="32"/>
        </w:rPr>
      </w:pPr>
      <w:r>
        <w:rPr>
          <w:rFonts w:eastAsia="黑体"/>
          <w:sz w:val="32"/>
          <w:szCs w:val="32"/>
        </w:rPr>
        <w:t>附件1</w:t>
      </w:r>
    </w:p>
    <w:p>
      <w:pPr>
        <w:spacing w:line="600" w:lineRule="exact"/>
        <w:jc w:val="center"/>
        <w:rPr>
          <w:rFonts w:eastAsia="黑体"/>
          <w:sz w:val="40"/>
          <w:szCs w:val="40"/>
        </w:rPr>
      </w:pPr>
    </w:p>
    <w:p>
      <w:pPr>
        <w:jc w:val="center"/>
        <w:rPr>
          <w:rFonts w:eastAsia="黑体"/>
          <w:sz w:val="40"/>
          <w:szCs w:val="40"/>
        </w:rPr>
      </w:pPr>
      <w:r>
        <w:rPr>
          <w:rFonts w:eastAsia="黑体"/>
          <w:sz w:val="40"/>
          <w:szCs w:val="40"/>
        </w:rPr>
        <w:t>培训课程安排</w:t>
      </w:r>
    </w:p>
    <w:tbl>
      <w:tblPr>
        <w:tblStyle w:val="8"/>
        <w:tblW w:w="97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227"/>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blHeader/>
          <w:jc w:val="center"/>
        </w:trPr>
        <w:tc>
          <w:tcPr>
            <w:tcW w:w="1271" w:type="dxa"/>
            <w:vAlign w:val="center"/>
          </w:tcPr>
          <w:p>
            <w:pPr>
              <w:spacing w:line="360" w:lineRule="exact"/>
              <w:jc w:val="center"/>
              <w:rPr>
                <w:rFonts w:eastAsia="黑体"/>
                <w:sz w:val="24"/>
              </w:rPr>
            </w:pPr>
            <w:r>
              <w:rPr>
                <w:rFonts w:eastAsia="黑体"/>
                <w:sz w:val="24"/>
              </w:rPr>
              <w:t>期 数</w:t>
            </w:r>
          </w:p>
        </w:tc>
        <w:tc>
          <w:tcPr>
            <w:tcW w:w="3227" w:type="dxa"/>
            <w:vAlign w:val="center"/>
          </w:tcPr>
          <w:p>
            <w:pPr>
              <w:spacing w:line="360" w:lineRule="exact"/>
              <w:jc w:val="center"/>
              <w:rPr>
                <w:rFonts w:eastAsia="黑体"/>
                <w:sz w:val="24"/>
              </w:rPr>
            </w:pPr>
            <w:r>
              <w:rPr>
                <w:rFonts w:eastAsia="黑体"/>
                <w:sz w:val="24"/>
              </w:rPr>
              <w:t>培训内容</w:t>
            </w:r>
          </w:p>
        </w:tc>
        <w:tc>
          <w:tcPr>
            <w:tcW w:w="5212" w:type="dxa"/>
            <w:vAlign w:val="center"/>
          </w:tcPr>
          <w:p>
            <w:pPr>
              <w:spacing w:line="360" w:lineRule="exact"/>
              <w:jc w:val="center"/>
              <w:rPr>
                <w:rFonts w:eastAsia="黑体"/>
                <w:sz w:val="24"/>
              </w:rPr>
            </w:pPr>
            <w:r>
              <w:rPr>
                <w:rFonts w:eastAsia="黑体"/>
                <w:sz w:val="24"/>
              </w:rPr>
              <w:t>主讲人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第一期</w:t>
            </w:r>
          </w:p>
        </w:tc>
        <w:tc>
          <w:tcPr>
            <w:tcW w:w="3227" w:type="dxa"/>
            <w:vAlign w:val="center"/>
          </w:tcPr>
          <w:p>
            <w:pPr>
              <w:spacing w:line="360" w:lineRule="exact"/>
              <w:rPr>
                <w:sz w:val="24"/>
              </w:rPr>
            </w:pPr>
            <w:r>
              <w:rPr>
                <w:sz w:val="24"/>
              </w:rPr>
              <w:t>解读2018年中央一号文件（播出时间：4月27日9:00—11:00）</w:t>
            </w:r>
          </w:p>
        </w:tc>
        <w:tc>
          <w:tcPr>
            <w:tcW w:w="5212" w:type="dxa"/>
            <w:vAlign w:val="center"/>
          </w:tcPr>
          <w:p>
            <w:pPr>
              <w:spacing w:line="360" w:lineRule="exact"/>
              <w:rPr>
                <w:sz w:val="24"/>
              </w:rPr>
            </w:pPr>
            <w:r>
              <w:rPr>
                <w:sz w:val="24"/>
              </w:rPr>
              <w:t>农业农村部政策法规司司长 张天佐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第二期</w:t>
            </w:r>
          </w:p>
        </w:tc>
        <w:tc>
          <w:tcPr>
            <w:tcW w:w="3227" w:type="dxa"/>
            <w:vAlign w:val="center"/>
          </w:tcPr>
          <w:p>
            <w:pPr>
              <w:spacing w:line="360" w:lineRule="exact"/>
              <w:rPr>
                <w:sz w:val="24"/>
              </w:rPr>
            </w:pPr>
            <w:r>
              <w:rPr>
                <w:sz w:val="24"/>
              </w:rPr>
              <w:t>乡村振兴战略实施中若干操作问题（播出时间：5月10日9:00—11:00）</w:t>
            </w:r>
          </w:p>
        </w:tc>
        <w:tc>
          <w:tcPr>
            <w:tcW w:w="5212" w:type="dxa"/>
            <w:vAlign w:val="center"/>
          </w:tcPr>
          <w:p>
            <w:pPr>
              <w:spacing w:line="360" w:lineRule="exact"/>
              <w:rPr>
                <w:sz w:val="24"/>
              </w:rPr>
            </w:pPr>
            <w:r>
              <w:rPr>
                <w:sz w:val="24"/>
              </w:rPr>
              <w:t>中国社会科学院农村发展研究所 研究员 党国英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第三期</w:t>
            </w:r>
          </w:p>
        </w:tc>
        <w:tc>
          <w:tcPr>
            <w:tcW w:w="3227" w:type="dxa"/>
            <w:vAlign w:val="center"/>
          </w:tcPr>
          <w:p>
            <w:pPr>
              <w:spacing w:line="360" w:lineRule="exact"/>
              <w:rPr>
                <w:sz w:val="24"/>
              </w:rPr>
            </w:pPr>
            <w:r>
              <w:rPr>
                <w:sz w:val="24"/>
              </w:rPr>
              <w:t>农药绿色发展的现状与展望（播出时间：5月18日9:00—11:00）</w:t>
            </w:r>
          </w:p>
        </w:tc>
        <w:tc>
          <w:tcPr>
            <w:tcW w:w="5212" w:type="dxa"/>
            <w:vAlign w:val="center"/>
          </w:tcPr>
          <w:p>
            <w:pPr>
              <w:spacing w:line="360" w:lineRule="exact"/>
              <w:rPr>
                <w:sz w:val="24"/>
              </w:rPr>
            </w:pPr>
            <w:r>
              <w:rPr>
                <w:sz w:val="24"/>
              </w:rPr>
              <w:t>贵州大学副校长、中国工程院院士</w:t>
            </w:r>
            <w:r>
              <w:rPr>
                <w:rFonts w:hint="eastAsia"/>
                <w:sz w:val="24"/>
              </w:rPr>
              <w:t xml:space="preserve"> </w:t>
            </w:r>
            <w:r>
              <w:rPr>
                <w:sz w:val="24"/>
              </w:rPr>
              <w:t>宋宝安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Merge w:val="restart"/>
            <w:vAlign w:val="center"/>
          </w:tcPr>
          <w:p>
            <w:pPr>
              <w:spacing w:line="360" w:lineRule="exact"/>
              <w:jc w:val="center"/>
              <w:rPr>
                <w:sz w:val="24"/>
              </w:rPr>
            </w:pPr>
            <w:r>
              <w:rPr>
                <w:sz w:val="24"/>
              </w:rPr>
              <w:t>第四期</w:t>
            </w:r>
          </w:p>
        </w:tc>
        <w:tc>
          <w:tcPr>
            <w:tcW w:w="3227" w:type="dxa"/>
            <w:vAlign w:val="center"/>
          </w:tcPr>
          <w:p>
            <w:pPr>
              <w:spacing w:line="360" w:lineRule="exact"/>
              <w:rPr>
                <w:sz w:val="24"/>
              </w:rPr>
            </w:pPr>
            <w:r>
              <w:rPr>
                <w:sz w:val="24"/>
              </w:rPr>
              <w:t>农业信息化的发展前景和政策导向</w:t>
            </w:r>
          </w:p>
        </w:tc>
        <w:tc>
          <w:tcPr>
            <w:tcW w:w="5212" w:type="dxa"/>
            <w:vAlign w:val="center"/>
          </w:tcPr>
          <w:p>
            <w:pPr>
              <w:spacing w:line="360" w:lineRule="exact"/>
              <w:rPr>
                <w:sz w:val="24"/>
              </w:rPr>
            </w:pPr>
            <w:r>
              <w:rPr>
                <w:sz w:val="24"/>
              </w:rPr>
              <w:t>农业农村部市场与经济信息司司长 唐珂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Merge w:val="continue"/>
            <w:vAlign w:val="center"/>
          </w:tcPr>
          <w:p>
            <w:pPr>
              <w:spacing w:line="360" w:lineRule="exact"/>
              <w:jc w:val="center"/>
              <w:rPr>
                <w:sz w:val="24"/>
              </w:rPr>
            </w:pPr>
          </w:p>
        </w:tc>
        <w:tc>
          <w:tcPr>
            <w:tcW w:w="3227" w:type="dxa"/>
            <w:vAlign w:val="center"/>
          </w:tcPr>
          <w:p>
            <w:pPr>
              <w:spacing w:line="360" w:lineRule="exact"/>
              <w:rPr>
                <w:sz w:val="24"/>
              </w:rPr>
            </w:pPr>
            <w:r>
              <w:rPr>
                <w:sz w:val="24"/>
              </w:rPr>
              <w:t>大力发展休闲农业和乡村旅游促进农业与旅游、文化、教育、康养、体育等深度融合</w:t>
            </w:r>
          </w:p>
        </w:tc>
        <w:tc>
          <w:tcPr>
            <w:tcW w:w="5212" w:type="dxa"/>
            <w:vAlign w:val="center"/>
          </w:tcPr>
          <w:p>
            <w:pPr>
              <w:spacing w:line="360" w:lineRule="exact"/>
              <w:rPr>
                <w:sz w:val="24"/>
              </w:rPr>
            </w:pPr>
            <w:r>
              <w:rPr>
                <w:sz w:val="24"/>
              </w:rPr>
              <w:t>农业农村部农产品加工局局长</w:t>
            </w:r>
            <w:r>
              <w:rPr>
                <w:rFonts w:hint="eastAsia"/>
                <w:sz w:val="24"/>
              </w:rPr>
              <w:t xml:space="preserve"> </w:t>
            </w:r>
            <w:r>
              <w:rPr>
                <w:sz w:val="24"/>
              </w:rPr>
              <w:t>宗锦耀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第五期</w:t>
            </w:r>
          </w:p>
        </w:tc>
        <w:tc>
          <w:tcPr>
            <w:tcW w:w="3227" w:type="dxa"/>
            <w:vAlign w:val="center"/>
          </w:tcPr>
          <w:p>
            <w:pPr>
              <w:spacing w:line="360" w:lineRule="exact"/>
              <w:rPr>
                <w:sz w:val="24"/>
              </w:rPr>
            </w:pPr>
            <w:r>
              <w:rPr>
                <w:sz w:val="24"/>
              </w:rPr>
              <w:t>推进植物新品种保护与品种更新换代 促进种业全面振兴</w:t>
            </w:r>
          </w:p>
        </w:tc>
        <w:tc>
          <w:tcPr>
            <w:tcW w:w="5212" w:type="dxa"/>
            <w:vAlign w:val="center"/>
          </w:tcPr>
          <w:p>
            <w:pPr>
              <w:spacing w:line="360" w:lineRule="exact"/>
              <w:rPr>
                <w:sz w:val="24"/>
              </w:rPr>
            </w:pPr>
            <w:r>
              <w:rPr>
                <w:sz w:val="24"/>
              </w:rPr>
              <w:t>农业农村部种子管理局局长 张延秋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第六期</w:t>
            </w:r>
          </w:p>
        </w:tc>
        <w:tc>
          <w:tcPr>
            <w:tcW w:w="3227" w:type="dxa"/>
            <w:vAlign w:val="center"/>
          </w:tcPr>
          <w:p>
            <w:pPr>
              <w:spacing w:line="360" w:lineRule="exact"/>
              <w:rPr>
                <w:sz w:val="24"/>
              </w:rPr>
            </w:pPr>
            <w:r>
              <w:rPr>
                <w:sz w:val="24"/>
              </w:rPr>
              <w:t>嘉宾访谈：积极发展农民体育事业 助推实施乡村振兴战略</w:t>
            </w:r>
          </w:p>
        </w:tc>
        <w:tc>
          <w:tcPr>
            <w:tcW w:w="5212" w:type="dxa"/>
            <w:vAlign w:val="center"/>
          </w:tcPr>
          <w:p>
            <w:pPr>
              <w:spacing w:line="360" w:lineRule="exact"/>
              <w:rPr>
                <w:sz w:val="24"/>
              </w:rPr>
            </w:pPr>
            <w:r>
              <w:rPr>
                <w:sz w:val="24"/>
              </w:rPr>
              <w:t>农业农村部办公厅领导、国家体育总局群众体育司 领导、中国农民体育协会领导；上海市、陕西省农民体育协会负责人，山西省阳泉市郊区李家庄村、福建省晋江市深沪镇运伙村农民代表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第七期</w:t>
            </w:r>
          </w:p>
        </w:tc>
        <w:tc>
          <w:tcPr>
            <w:tcW w:w="3227" w:type="dxa"/>
            <w:vAlign w:val="center"/>
          </w:tcPr>
          <w:p>
            <w:pPr>
              <w:spacing w:line="360" w:lineRule="exact"/>
              <w:rPr>
                <w:sz w:val="24"/>
              </w:rPr>
            </w:pPr>
            <w:r>
              <w:rPr>
                <w:sz w:val="24"/>
              </w:rPr>
              <w:t>“农业质量年”的总体要求与有关部署</w:t>
            </w:r>
          </w:p>
        </w:tc>
        <w:tc>
          <w:tcPr>
            <w:tcW w:w="5212" w:type="dxa"/>
            <w:vAlign w:val="center"/>
          </w:tcPr>
          <w:p>
            <w:pPr>
              <w:spacing w:line="360" w:lineRule="exact"/>
              <w:rPr>
                <w:sz w:val="24"/>
              </w:rPr>
            </w:pPr>
            <w:r>
              <w:rPr>
                <w:sz w:val="24"/>
              </w:rPr>
              <w:t>农业农村部农产品质量安全监管局局长 广德福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第八期</w:t>
            </w:r>
          </w:p>
        </w:tc>
        <w:tc>
          <w:tcPr>
            <w:tcW w:w="3227" w:type="dxa"/>
            <w:vAlign w:val="center"/>
          </w:tcPr>
          <w:p>
            <w:pPr>
              <w:spacing w:line="360" w:lineRule="exact"/>
              <w:rPr>
                <w:sz w:val="24"/>
              </w:rPr>
            </w:pPr>
            <w:r>
              <w:rPr>
                <w:sz w:val="24"/>
              </w:rPr>
              <w:t>嘉宾访谈：积极实施乡村振兴巾帼行动 大力提升农村妇女综合素质</w:t>
            </w:r>
          </w:p>
        </w:tc>
        <w:tc>
          <w:tcPr>
            <w:tcW w:w="5212" w:type="dxa"/>
            <w:vAlign w:val="center"/>
          </w:tcPr>
          <w:p>
            <w:pPr>
              <w:spacing w:line="360" w:lineRule="exact"/>
              <w:rPr>
                <w:sz w:val="24"/>
              </w:rPr>
            </w:pPr>
            <w:r>
              <w:rPr>
                <w:sz w:val="24"/>
              </w:rPr>
              <w:t>全国妇联妇女发展部副部长 邰烈虹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第九期</w:t>
            </w:r>
          </w:p>
        </w:tc>
        <w:tc>
          <w:tcPr>
            <w:tcW w:w="3227" w:type="dxa"/>
            <w:vAlign w:val="center"/>
          </w:tcPr>
          <w:p>
            <w:pPr>
              <w:spacing w:line="360" w:lineRule="exact"/>
              <w:rPr>
                <w:sz w:val="24"/>
              </w:rPr>
            </w:pPr>
            <w:r>
              <w:rPr>
                <w:sz w:val="24"/>
              </w:rPr>
              <w:t>《农药管理条例》及配套政策解读</w:t>
            </w:r>
          </w:p>
        </w:tc>
        <w:tc>
          <w:tcPr>
            <w:tcW w:w="5212" w:type="dxa"/>
            <w:vAlign w:val="center"/>
          </w:tcPr>
          <w:p>
            <w:pPr>
              <w:spacing w:line="360" w:lineRule="exact"/>
              <w:rPr>
                <w:sz w:val="24"/>
              </w:rPr>
            </w:pPr>
            <w:r>
              <w:rPr>
                <w:sz w:val="24"/>
              </w:rPr>
              <w:t>农业农村部种植业管理司副司长</w:t>
            </w:r>
            <w:r>
              <w:rPr>
                <w:rFonts w:hint="eastAsia"/>
                <w:sz w:val="24"/>
              </w:rPr>
              <w:t xml:space="preserve"> </w:t>
            </w:r>
            <w:r>
              <w:rPr>
                <w:sz w:val="24"/>
              </w:rPr>
              <w:t>陈友权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71" w:type="dxa"/>
            <w:vAlign w:val="center"/>
          </w:tcPr>
          <w:p>
            <w:pPr>
              <w:spacing w:line="360" w:lineRule="exact"/>
              <w:jc w:val="center"/>
              <w:rPr>
                <w:sz w:val="24"/>
              </w:rPr>
            </w:pPr>
            <w:r>
              <w:rPr>
                <w:sz w:val="24"/>
              </w:rPr>
              <w:t>第十期</w:t>
            </w:r>
          </w:p>
        </w:tc>
        <w:tc>
          <w:tcPr>
            <w:tcW w:w="3227" w:type="dxa"/>
            <w:vAlign w:val="center"/>
          </w:tcPr>
          <w:p>
            <w:pPr>
              <w:spacing w:line="360" w:lineRule="exact"/>
              <w:rPr>
                <w:sz w:val="24"/>
              </w:rPr>
            </w:pPr>
            <w:r>
              <w:rPr>
                <w:sz w:val="24"/>
              </w:rPr>
              <w:t>土地确权登记颁证工作着重需要把握的几个问题</w:t>
            </w:r>
          </w:p>
        </w:tc>
        <w:tc>
          <w:tcPr>
            <w:tcW w:w="5212" w:type="dxa"/>
            <w:vAlign w:val="center"/>
          </w:tcPr>
          <w:p>
            <w:pPr>
              <w:spacing w:line="360" w:lineRule="exact"/>
              <w:rPr>
                <w:sz w:val="24"/>
              </w:rPr>
            </w:pPr>
            <w:r>
              <w:rPr>
                <w:sz w:val="24"/>
              </w:rPr>
              <w:t>农业农村部农村经济体制与经营管理司  副巡视员 孙邦群</w:t>
            </w:r>
          </w:p>
        </w:tc>
      </w:tr>
    </w:tbl>
    <w:p>
      <w:pPr>
        <w:pStyle w:val="5"/>
        <w:ind w:left="2490"/>
        <w:rPr>
          <w:rFonts w:ascii="Times New Roman" w:hAnsi="Times New Roman"/>
          <w:color w:val="0D0D0D"/>
        </w:rPr>
      </w:pPr>
    </w:p>
    <w:tbl>
      <w:tblPr>
        <w:tblStyle w:val="8"/>
        <w:tblW w:w="9810"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3118"/>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Align w:val="center"/>
          </w:tcPr>
          <w:p>
            <w:pPr>
              <w:spacing w:line="360" w:lineRule="exact"/>
              <w:jc w:val="center"/>
              <w:rPr>
                <w:rFonts w:eastAsia="黑体"/>
                <w:sz w:val="24"/>
              </w:rPr>
            </w:pPr>
            <w:r>
              <w:rPr>
                <w:rFonts w:eastAsia="黑体"/>
                <w:sz w:val="24"/>
              </w:rPr>
              <w:t>期 数</w:t>
            </w:r>
          </w:p>
        </w:tc>
        <w:tc>
          <w:tcPr>
            <w:tcW w:w="3118" w:type="dxa"/>
            <w:vAlign w:val="center"/>
          </w:tcPr>
          <w:p>
            <w:pPr>
              <w:spacing w:line="360" w:lineRule="exact"/>
              <w:jc w:val="center"/>
              <w:rPr>
                <w:rFonts w:eastAsia="黑体"/>
                <w:sz w:val="24"/>
              </w:rPr>
            </w:pPr>
            <w:r>
              <w:rPr>
                <w:rFonts w:eastAsia="黑体"/>
                <w:sz w:val="24"/>
              </w:rPr>
              <w:t>培训内容</w:t>
            </w:r>
          </w:p>
        </w:tc>
        <w:tc>
          <w:tcPr>
            <w:tcW w:w="5387" w:type="dxa"/>
            <w:vAlign w:val="center"/>
          </w:tcPr>
          <w:p>
            <w:pPr>
              <w:spacing w:line="360" w:lineRule="exact"/>
              <w:jc w:val="center"/>
              <w:rPr>
                <w:rFonts w:eastAsia="黑体"/>
                <w:sz w:val="24"/>
              </w:rPr>
            </w:pPr>
            <w:r>
              <w:rPr>
                <w:rFonts w:eastAsia="黑体"/>
                <w:sz w:val="24"/>
              </w:rPr>
              <w:t>主讲人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Align w:val="center"/>
          </w:tcPr>
          <w:p>
            <w:pPr>
              <w:spacing w:line="300" w:lineRule="exact"/>
              <w:rPr>
                <w:sz w:val="24"/>
              </w:rPr>
            </w:pPr>
            <w:r>
              <w:rPr>
                <w:sz w:val="24"/>
              </w:rPr>
              <w:t>第十一期</w:t>
            </w:r>
          </w:p>
        </w:tc>
        <w:tc>
          <w:tcPr>
            <w:tcW w:w="3118" w:type="dxa"/>
            <w:vAlign w:val="center"/>
          </w:tcPr>
          <w:p>
            <w:pPr>
              <w:spacing w:line="300" w:lineRule="exact"/>
              <w:rPr>
                <w:sz w:val="24"/>
              </w:rPr>
            </w:pPr>
            <w:r>
              <w:rPr>
                <w:sz w:val="24"/>
              </w:rPr>
              <w:t>坚持质量兴农 确保百姓“舌尖上的安全”</w:t>
            </w:r>
          </w:p>
        </w:tc>
        <w:tc>
          <w:tcPr>
            <w:tcW w:w="5387" w:type="dxa"/>
            <w:vAlign w:val="center"/>
          </w:tcPr>
          <w:p>
            <w:pPr>
              <w:spacing w:line="300" w:lineRule="exact"/>
              <w:rPr>
                <w:sz w:val="24"/>
              </w:rPr>
            </w:pPr>
            <w:r>
              <w:rPr>
                <w:sz w:val="24"/>
              </w:rPr>
              <w:t>农业农村部农产品质量安全监管局副局长 程金根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Align w:val="center"/>
          </w:tcPr>
          <w:p>
            <w:pPr>
              <w:spacing w:line="300" w:lineRule="exact"/>
              <w:rPr>
                <w:sz w:val="24"/>
              </w:rPr>
            </w:pPr>
            <w:r>
              <w:rPr>
                <w:sz w:val="24"/>
              </w:rPr>
              <w:t>第十二期</w:t>
            </w:r>
          </w:p>
        </w:tc>
        <w:tc>
          <w:tcPr>
            <w:tcW w:w="3118" w:type="dxa"/>
            <w:vAlign w:val="center"/>
          </w:tcPr>
          <w:p>
            <w:pPr>
              <w:spacing w:line="300" w:lineRule="exact"/>
              <w:rPr>
                <w:sz w:val="24"/>
              </w:rPr>
            </w:pPr>
            <w:r>
              <w:rPr>
                <w:sz w:val="24"/>
              </w:rPr>
              <w:t>高质量发展“三品一标”积极示范引领质量兴农</w:t>
            </w:r>
          </w:p>
        </w:tc>
        <w:tc>
          <w:tcPr>
            <w:tcW w:w="5387" w:type="dxa"/>
            <w:vAlign w:val="center"/>
          </w:tcPr>
          <w:p>
            <w:pPr>
              <w:spacing w:line="300" w:lineRule="exact"/>
              <w:rPr>
                <w:sz w:val="24"/>
              </w:rPr>
            </w:pPr>
            <w:r>
              <w:rPr>
                <w:sz w:val="24"/>
              </w:rPr>
              <w:t>中国绿色食品发展中心主任 张华荣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Align w:val="center"/>
          </w:tcPr>
          <w:p>
            <w:pPr>
              <w:spacing w:line="300" w:lineRule="exact"/>
              <w:rPr>
                <w:sz w:val="24"/>
              </w:rPr>
            </w:pPr>
            <w:r>
              <w:rPr>
                <w:sz w:val="24"/>
              </w:rPr>
              <w:t>第十三期</w:t>
            </w:r>
          </w:p>
        </w:tc>
        <w:tc>
          <w:tcPr>
            <w:tcW w:w="3118" w:type="dxa"/>
            <w:vAlign w:val="center"/>
          </w:tcPr>
          <w:p>
            <w:pPr>
              <w:spacing w:line="300" w:lineRule="exact"/>
              <w:rPr>
                <w:sz w:val="24"/>
              </w:rPr>
            </w:pPr>
            <w:r>
              <w:rPr>
                <w:sz w:val="24"/>
              </w:rPr>
              <w:t>嘉宾访谈：提高新型职业农民培育针对性、有效性 为乡村振兴战略实施提供人才支持</w:t>
            </w:r>
          </w:p>
        </w:tc>
        <w:tc>
          <w:tcPr>
            <w:tcW w:w="5387" w:type="dxa"/>
            <w:vAlign w:val="center"/>
          </w:tcPr>
          <w:p>
            <w:pPr>
              <w:spacing w:line="300" w:lineRule="exact"/>
              <w:rPr>
                <w:sz w:val="24"/>
              </w:rPr>
            </w:pPr>
            <w:r>
              <w:rPr>
                <w:sz w:val="24"/>
              </w:rPr>
              <w:t>农业农村部科技教育司、中央农业广播电视学校有关负责同志；省、县级农业广播电视学校代表；新型职业农民代表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Align w:val="center"/>
          </w:tcPr>
          <w:p>
            <w:pPr>
              <w:spacing w:line="300" w:lineRule="exact"/>
              <w:rPr>
                <w:sz w:val="24"/>
              </w:rPr>
            </w:pPr>
            <w:r>
              <w:rPr>
                <w:sz w:val="24"/>
              </w:rPr>
              <w:t>第十四期</w:t>
            </w:r>
          </w:p>
        </w:tc>
        <w:tc>
          <w:tcPr>
            <w:tcW w:w="3118" w:type="dxa"/>
            <w:vAlign w:val="center"/>
          </w:tcPr>
          <w:p>
            <w:pPr>
              <w:spacing w:line="300" w:lineRule="exact"/>
              <w:rPr>
                <w:sz w:val="24"/>
              </w:rPr>
            </w:pPr>
            <w:r>
              <w:rPr>
                <w:sz w:val="24"/>
              </w:rPr>
              <w:t>加快发展农业生产性服务业 实现小农生产与现代农业有机衔接</w:t>
            </w:r>
          </w:p>
        </w:tc>
        <w:tc>
          <w:tcPr>
            <w:tcW w:w="5387" w:type="dxa"/>
            <w:vAlign w:val="center"/>
          </w:tcPr>
          <w:p>
            <w:pPr>
              <w:spacing w:line="300" w:lineRule="exact"/>
              <w:rPr>
                <w:sz w:val="24"/>
              </w:rPr>
            </w:pPr>
            <w:r>
              <w:rPr>
                <w:sz w:val="24"/>
              </w:rPr>
              <w:t>农业农村部农村经济体制与经营管理司巡视员</w:t>
            </w:r>
          </w:p>
          <w:p>
            <w:pPr>
              <w:spacing w:line="300" w:lineRule="exact"/>
              <w:rPr>
                <w:sz w:val="24"/>
              </w:rPr>
            </w:pPr>
            <w:r>
              <w:rPr>
                <w:sz w:val="24"/>
              </w:rPr>
              <w:t>冀名峰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Merge w:val="restart"/>
            <w:vAlign w:val="center"/>
          </w:tcPr>
          <w:p>
            <w:pPr>
              <w:spacing w:line="300" w:lineRule="exact"/>
              <w:rPr>
                <w:sz w:val="24"/>
              </w:rPr>
            </w:pPr>
            <w:r>
              <w:rPr>
                <w:sz w:val="24"/>
              </w:rPr>
              <w:t>第十五期</w:t>
            </w:r>
          </w:p>
        </w:tc>
        <w:tc>
          <w:tcPr>
            <w:tcW w:w="3118" w:type="dxa"/>
            <w:vAlign w:val="center"/>
          </w:tcPr>
          <w:p>
            <w:pPr>
              <w:spacing w:line="300" w:lineRule="exact"/>
              <w:rPr>
                <w:sz w:val="24"/>
              </w:rPr>
            </w:pPr>
            <w:r>
              <w:rPr>
                <w:sz w:val="24"/>
              </w:rPr>
              <w:t>专题片：不平凡的创业路</w:t>
            </w:r>
          </w:p>
        </w:tc>
        <w:tc>
          <w:tcPr>
            <w:tcW w:w="5387" w:type="dxa"/>
            <w:vAlign w:val="center"/>
          </w:tcPr>
          <w:p>
            <w:pPr>
              <w:spacing w:line="300" w:lineRule="exact"/>
              <w:rPr>
                <w:sz w:val="24"/>
              </w:rPr>
            </w:pPr>
            <w:r>
              <w:rPr>
                <w:sz w:val="24"/>
              </w:rPr>
              <w:t>天津市宝坻区民盛种养殖专业合作社理事长、“全国十佳农民” 张秀霞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Merge w:val="continue"/>
            <w:vAlign w:val="center"/>
          </w:tcPr>
          <w:p>
            <w:pPr>
              <w:spacing w:line="300" w:lineRule="exact"/>
              <w:rPr>
                <w:sz w:val="24"/>
              </w:rPr>
            </w:pPr>
          </w:p>
        </w:tc>
        <w:tc>
          <w:tcPr>
            <w:tcW w:w="3118" w:type="dxa"/>
            <w:vAlign w:val="center"/>
          </w:tcPr>
          <w:p>
            <w:pPr>
              <w:spacing w:line="300" w:lineRule="exact"/>
              <w:rPr>
                <w:sz w:val="24"/>
              </w:rPr>
            </w:pPr>
            <w:r>
              <w:rPr>
                <w:sz w:val="24"/>
              </w:rPr>
              <w:t>专题片：一切只为了种好地多打粮</w:t>
            </w:r>
          </w:p>
        </w:tc>
        <w:tc>
          <w:tcPr>
            <w:tcW w:w="5387" w:type="dxa"/>
            <w:vAlign w:val="center"/>
          </w:tcPr>
          <w:p>
            <w:pPr>
              <w:spacing w:line="300" w:lineRule="exact"/>
              <w:rPr>
                <w:sz w:val="24"/>
              </w:rPr>
            </w:pPr>
            <w:r>
              <w:rPr>
                <w:sz w:val="24"/>
              </w:rPr>
              <w:t>陕西长丰种业有限公司总经理、“全国十佳农民”</w:t>
            </w:r>
          </w:p>
          <w:p>
            <w:pPr>
              <w:spacing w:line="300" w:lineRule="exact"/>
              <w:rPr>
                <w:sz w:val="24"/>
              </w:rPr>
            </w:pPr>
            <w:r>
              <w:rPr>
                <w:sz w:val="24"/>
              </w:rPr>
              <w:t>薛拓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Merge w:val="restart"/>
            <w:vAlign w:val="center"/>
          </w:tcPr>
          <w:p>
            <w:pPr>
              <w:spacing w:line="300" w:lineRule="exact"/>
              <w:rPr>
                <w:sz w:val="24"/>
              </w:rPr>
            </w:pPr>
            <w:r>
              <w:rPr>
                <w:sz w:val="24"/>
              </w:rPr>
              <w:t>第十六期</w:t>
            </w:r>
          </w:p>
        </w:tc>
        <w:tc>
          <w:tcPr>
            <w:tcW w:w="3118" w:type="dxa"/>
            <w:vAlign w:val="center"/>
          </w:tcPr>
          <w:p>
            <w:pPr>
              <w:spacing w:line="300" w:lineRule="exact"/>
              <w:rPr>
                <w:sz w:val="24"/>
              </w:rPr>
            </w:pPr>
            <w:r>
              <w:rPr>
                <w:sz w:val="24"/>
              </w:rPr>
              <w:t>打好三年精准脱贫攻坚战</w:t>
            </w:r>
          </w:p>
        </w:tc>
        <w:tc>
          <w:tcPr>
            <w:tcW w:w="5387" w:type="dxa"/>
            <w:vAlign w:val="center"/>
          </w:tcPr>
          <w:p>
            <w:pPr>
              <w:spacing w:line="300" w:lineRule="exact"/>
              <w:rPr>
                <w:sz w:val="24"/>
              </w:rPr>
            </w:pPr>
            <w:r>
              <w:rPr>
                <w:sz w:val="24"/>
              </w:rPr>
              <w:t>国务院扶贫办综合司司长 苏国霞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Merge w:val="continue"/>
            <w:vAlign w:val="center"/>
          </w:tcPr>
          <w:p>
            <w:pPr>
              <w:spacing w:line="300" w:lineRule="exact"/>
              <w:rPr>
                <w:sz w:val="24"/>
              </w:rPr>
            </w:pPr>
          </w:p>
        </w:tc>
        <w:tc>
          <w:tcPr>
            <w:tcW w:w="3118" w:type="dxa"/>
            <w:vAlign w:val="center"/>
          </w:tcPr>
          <w:p>
            <w:pPr>
              <w:spacing w:line="300" w:lineRule="exact"/>
              <w:rPr>
                <w:sz w:val="24"/>
              </w:rPr>
            </w:pPr>
            <w:r>
              <w:rPr>
                <w:sz w:val="24"/>
              </w:rPr>
              <w:t>果菜茶有机肥替代化肥减量施用</w:t>
            </w:r>
          </w:p>
        </w:tc>
        <w:tc>
          <w:tcPr>
            <w:tcW w:w="5387" w:type="dxa"/>
            <w:vAlign w:val="center"/>
          </w:tcPr>
          <w:p>
            <w:pPr>
              <w:spacing w:line="300" w:lineRule="exact"/>
              <w:rPr>
                <w:sz w:val="24"/>
              </w:rPr>
            </w:pPr>
            <w:r>
              <w:rPr>
                <w:sz w:val="24"/>
              </w:rPr>
              <w:t>中国农业大学资源环境学院教授 李季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Merge w:val="restart"/>
            <w:vAlign w:val="center"/>
          </w:tcPr>
          <w:p>
            <w:pPr>
              <w:spacing w:line="300" w:lineRule="exact"/>
              <w:rPr>
                <w:sz w:val="24"/>
              </w:rPr>
            </w:pPr>
            <w:r>
              <w:rPr>
                <w:sz w:val="24"/>
              </w:rPr>
              <w:t>第十七期</w:t>
            </w:r>
          </w:p>
        </w:tc>
        <w:tc>
          <w:tcPr>
            <w:tcW w:w="3118" w:type="dxa"/>
            <w:vAlign w:val="center"/>
          </w:tcPr>
          <w:p>
            <w:pPr>
              <w:spacing w:line="300" w:lineRule="exact"/>
              <w:rPr>
                <w:sz w:val="24"/>
              </w:rPr>
            </w:pPr>
            <w:r>
              <w:rPr>
                <w:sz w:val="24"/>
              </w:rPr>
              <w:t>农民手机应用技能培训———聚焦手机种地管地卖农产品</w:t>
            </w:r>
          </w:p>
        </w:tc>
        <w:tc>
          <w:tcPr>
            <w:tcW w:w="5387" w:type="dxa"/>
            <w:vAlign w:val="center"/>
          </w:tcPr>
          <w:p>
            <w:pPr>
              <w:spacing w:line="300" w:lineRule="exact"/>
              <w:rPr>
                <w:sz w:val="24"/>
              </w:rPr>
            </w:pPr>
            <w:r>
              <w:rPr>
                <w:sz w:val="24"/>
              </w:rPr>
              <w:t>中国农业科学院农业信息研究所副所长、研究员 王文生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Merge w:val="continue"/>
            <w:vAlign w:val="center"/>
          </w:tcPr>
          <w:p>
            <w:pPr>
              <w:spacing w:line="300" w:lineRule="exact"/>
              <w:rPr>
                <w:sz w:val="24"/>
              </w:rPr>
            </w:pPr>
          </w:p>
        </w:tc>
        <w:tc>
          <w:tcPr>
            <w:tcW w:w="3118" w:type="dxa"/>
            <w:vAlign w:val="center"/>
          </w:tcPr>
          <w:p>
            <w:pPr>
              <w:spacing w:line="300" w:lineRule="exact"/>
              <w:rPr>
                <w:sz w:val="24"/>
              </w:rPr>
            </w:pPr>
            <w:r>
              <w:rPr>
                <w:sz w:val="24"/>
              </w:rPr>
              <w:t>农民手机应用技能培训———全国农业科教云平台推广应用</w:t>
            </w:r>
          </w:p>
        </w:tc>
        <w:tc>
          <w:tcPr>
            <w:tcW w:w="5387" w:type="dxa"/>
            <w:vAlign w:val="center"/>
          </w:tcPr>
          <w:p>
            <w:pPr>
              <w:spacing w:line="300" w:lineRule="exact"/>
              <w:rPr>
                <w:sz w:val="24"/>
              </w:rPr>
            </w:pPr>
            <w:r>
              <w:rPr>
                <w:sz w:val="24"/>
              </w:rPr>
              <w:t>隆平高科信息技术（北京）有限公司商务运营主任 金广慧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Align w:val="center"/>
          </w:tcPr>
          <w:p>
            <w:pPr>
              <w:spacing w:line="300" w:lineRule="exact"/>
              <w:rPr>
                <w:sz w:val="24"/>
              </w:rPr>
            </w:pPr>
            <w:r>
              <w:rPr>
                <w:sz w:val="24"/>
              </w:rPr>
              <w:t>第十八期</w:t>
            </w:r>
          </w:p>
        </w:tc>
        <w:tc>
          <w:tcPr>
            <w:tcW w:w="3118" w:type="dxa"/>
            <w:vAlign w:val="center"/>
          </w:tcPr>
          <w:p>
            <w:pPr>
              <w:spacing w:line="300" w:lineRule="exact"/>
              <w:rPr>
                <w:sz w:val="24"/>
              </w:rPr>
            </w:pPr>
            <w:r>
              <w:rPr>
                <w:sz w:val="24"/>
              </w:rPr>
              <w:t>入侵物种的识别与监测防治技术讲解</w:t>
            </w:r>
          </w:p>
        </w:tc>
        <w:tc>
          <w:tcPr>
            <w:tcW w:w="5387" w:type="dxa"/>
            <w:vAlign w:val="center"/>
          </w:tcPr>
          <w:p>
            <w:pPr>
              <w:spacing w:line="300" w:lineRule="exact"/>
              <w:rPr>
                <w:sz w:val="24"/>
              </w:rPr>
            </w:pPr>
            <w:r>
              <w:rPr>
                <w:sz w:val="24"/>
              </w:rPr>
              <w:t>中国农业科学院植物保护研究所研究员 张桂芬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Align w:val="center"/>
          </w:tcPr>
          <w:p>
            <w:pPr>
              <w:spacing w:line="300" w:lineRule="exact"/>
              <w:rPr>
                <w:sz w:val="24"/>
              </w:rPr>
            </w:pPr>
            <w:r>
              <w:rPr>
                <w:sz w:val="24"/>
              </w:rPr>
              <w:t>第十九期</w:t>
            </w:r>
          </w:p>
        </w:tc>
        <w:tc>
          <w:tcPr>
            <w:tcW w:w="3118" w:type="dxa"/>
            <w:vAlign w:val="center"/>
          </w:tcPr>
          <w:p>
            <w:pPr>
              <w:spacing w:line="300" w:lineRule="exact"/>
              <w:rPr>
                <w:sz w:val="24"/>
              </w:rPr>
            </w:pPr>
            <w:r>
              <w:rPr>
                <w:sz w:val="24"/>
              </w:rPr>
              <w:t>专题片：病虫害绿色防控替代化学防治需要重点把握的几个问题</w:t>
            </w:r>
          </w:p>
        </w:tc>
        <w:tc>
          <w:tcPr>
            <w:tcW w:w="5387" w:type="dxa"/>
            <w:vAlign w:val="center"/>
          </w:tcPr>
          <w:p>
            <w:pPr>
              <w:spacing w:line="300" w:lineRule="exact"/>
              <w:rPr>
                <w:sz w:val="24"/>
              </w:rPr>
            </w:pPr>
            <w:r>
              <w:rPr>
                <w:sz w:val="24"/>
              </w:rPr>
              <w:t>西北农林科技大学植物保护学院院长、中国工程院院士 康振生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05" w:type="dxa"/>
            <w:vAlign w:val="center"/>
          </w:tcPr>
          <w:p>
            <w:pPr>
              <w:spacing w:line="300" w:lineRule="exact"/>
              <w:rPr>
                <w:sz w:val="24"/>
              </w:rPr>
            </w:pPr>
            <w:r>
              <w:rPr>
                <w:sz w:val="24"/>
              </w:rPr>
              <w:t>第二十期</w:t>
            </w:r>
          </w:p>
        </w:tc>
        <w:tc>
          <w:tcPr>
            <w:tcW w:w="3118" w:type="dxa"/>
            <w:vAlign w:val="center"/>
          </w:tcPr>
          <w:p>
            <w:pPr>
              <w:spacing w:line="300" w:lineRule="exact"/>
              <w:rPr>
                <w:sz w:val="24"/>
              </w:rPr>
            </w:pPr>
            <w:r>
              <w:rPr>
                <w:sz w:val="24"/>
              </w:rPr>
              <w:t>玉米密植高产全程机械化绿色生产技术推广普及</w:t>
            </w:r>
          </w:p>
        </w:tc>
        <w:tc>
          <w:tcPr>
            <w:tcW w:w="5387" w:type="dxa"/>
            <w:vAlign w:val="center"/>
          </w:tcPr>
          <w:p>
            <w:pPr>
              <w:spacing w:line="300" w:lineRule="exact"/>
              <w:rPr>
                <w:sz w:val="24"/>
              </w:rPr>
            </w:pPr>
            <w:r>
              <w:rPr>
                <w:sz w:val="24"/>
              </w:rPr>
              <w:t>中国农业科学院作物科学研究所研究员 李少昆</w:t>
            </w:r>
          </w:p>
        </w:tc>
      </w:tr>
    </w:tbl>
    <w:p>
      <w:pPr>
        <w:pStyle w:val="5"/>
        <w:ind w:left="195"/>
        <w:rPr>
          <w:rFonts w:ascii="Times New Roman" w:hAnsi="Times New Roman" w:eastAsia="方正黑体_GBK"/>
          <w:color w:val="0D0D0D"/>
          <w:sz w:val="30"/>
          <w:szCs w:val="30"/>
        </w:rPr>
      </w:pPr>
    </w:p>
    <w:p>
      <w:pPr>
        <w:pStyle w:val="5"/>
        <w:ind w:left="195"/>
        <w:rPr>
          <w:rFonts w:ascii="Times New Roman" w:hAnsi="Times New Roman" w:eastAsia="方正黑体_GBK"/>
          <w:color w:val="0D0D0D"/>
          <w:sz w:val="30"/>
          <w:szCs w:val="30"/>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jc w:val="left"/>
        <w:rPr>
          <w:rFonts w:hint="eastAsia" w:ascii="仿宋" w:hAnsi="仿宋" w:eastAsia="仿宋" w:cs="仿宋"/>
          <w:sz w:val="32"/>
          <w:szCs w:val="32"/>
          <w:lang w:val="en-US" w:eastAsia="zh-CN"/>
        </w:rPr>
      </w:pPr>
      <w:r>
        <w:rPr>
          <w:rFonts w:hint="eastAsia" w:eastAsia="黑体"/>
          <w:sz w:val="32"/>
          <w:szCs w:val="32"/>
          <w:lang w:val="en-US" w:eastAsia="zh-CN"/>
        </w:rPr>
        <w:t>附件2：</w:t>
      </w:r>
    </w:p>
    <w:p>
      <w:pPr>
        <w:jc w:val="center"/>
        <w:rPr>
          <w:rFonts w:hint="eastAsia" w:eastAsia="黑体"/>
          <w:sz w:val="40"/>
          <w:szCs w:val="40"/>
          <w:lang w:val="en-US" w:eastAsia="zh-CN"/>
        </w:rPr>
      </w:pPr>
      <w:r>
        <w:rPr>
          <w:rFonts w:hint="eastAsia" w:eastAsia="黑体"/>
          <w:sz w:val="40"/>
          <w:szCs w:val="40"/>
          <w:lang w:val="en-US" w:eastAsia="zh-CN"/>
        </w:rPr>
        <w:t>牵头负责单位及联系人信息表</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1"/>
        <w:gridCol w:w="2009"/>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51"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lang w:val="en-US" w:eastAsia="zh-CN"/>
              </w:rPr>
              <w:t>牵头负责单位</w:t>
            </w:r>
          </w:p>
        </w:tc>
        <w:tc>
          <w:tcPr>
            <w:tcW w:w="2009"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联系人姓名及职务</w:t>
            </w:r>
          </w:p>
        </w:tc>
        <w:tc>
          <w:tcPr>
            <w:tcW w:w="2131"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电话/手机</w:t>
            </w:r>
          </w:p>
        </w:tc>
        <w:tc>
          <w:tcPr>
            <w:tcW w:w="2131"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9" w:hRule="atLeast"/>
        </w:trPr>
        <w:tc>
          <w:tcPr>
            <w:tcW w:w="2251" w:type="dxa"/>
          </w:tcPr>
          <w:p>
            <w:pPr>
              <w:jc w:val="left"/>
              <w:rPr>
                <w:rFonts w:hint="eastAsia" w:ascii="仿宋" w:hAnsi="仿宋" w:eastAsia="仿宋" w:cs="仿宋"/>
                <w:sz w:val="32"/>
                <w:szCs w:val="32"/>
                <w:vertAlign w:val="baseline"/>
                <w:lang w:val="en-US" w:eastAsia="zh-CN"/>
              </w:rPr>
            </w:pPr>
          </w:p>
        </w:tc>
        <w:tc>
          <w:tcPr>
            <w:tcW w:w="2009" w:type="dxa"/>
          </w:tcPr>
          <w:p>
            <w:pPr>
              <w:jc w:val="left"/>
              <w:rPr>
                <w:rFonts w:hint="eastAsia" w:ascii="仿宋" w:hAnsi="仿宋" w:eastAsia="仿宋" w:cs="仿宋"/>
                <w:sz w:val="32"/>
                <w:szCs w:val="32"/>
                <w:vertAlign w:val="baseline"/>
                <w:lang w:val="en-US" w:eastAsia="zh-CN"/>
              </w:rPr>
            </w:pPr>
          </w:p>
        </w:tc>
        <w:tc>
          <w:tcPr>
            <w:tcW w:w="2131" w:type="dxa"/>
          </w:tcPr>
          <w:p>
            <w:pPr>
              <w:jc w:val="left"/>
              <w:rPr>
                <w:rFonts w:hint="eastAsia" w:ascii="仿宋" w:hAnsi="仿宋" w:eastAsia="仿宋" w:cs="仿宋"/>
                <w:sz w:val="32"/>
                <w:szCs w:val="32"/>
                <w:vertAlign w:val="baseline"/>
                <w:lang w:val="en-US" w:eastAsia="zh-CN"/>
              </w:rPr>
            </w:pPr>
          </w:p>
        </w:tc>
        <w:tc>
          <w:tcPr>
            <w:tcW w:w="2131" w:type="dxa"/>
          </w:tcPr>
          <w:p>
            <w:pPr>
              <w:jc w:val="left"/>
              <w:rPr>
                <w:rFonts w:hint="eastAsia" w:ascii="仿宋" w:hAnsi="仿宋" w:eastAsia="仿宋" w:cs="仿宋"/>
                <w:sz w:val="32"/>
                <w:szCs w:val="32"/>
                <w:vertAlign w:val="baseline"/>
                <w:lang w:val="en-US" w:eastAsia="zh-CN"/>
              </w:rPr>
            </w:pPr>
          </w:p>
        </w:tc>
      </w:tr>
    </w:tbl>
    <w:p>
      <w:pPr>
        <w:jc w:val="left"/>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ind w:firstLine="4480" w:firstLineChars="1400"/>
        <w:rPr>
          <w:rFonts w:hint="eastAsia" w:ascii="仿宋" w:hAnsi="仿宋" w:eastAsia="仿宋" w:cs="仿宋"/>
          <w:sz w:val="32"/>
          <w:szCs w:val="32"/>
          <w:lang w:val="en-US" w:eastAsia="zh-CN"/>
        </w:rPr>
      </w:pPr>
    </w:p>
    <w:p>
      <w:pPr>
        <w:jc w:val="left"/>
        <w:rPr>
          <w:rFonts w:hint="eastAsia" w:eastAsia="黑体"/>
          <w:sz w:val="32"/>
          <w:szCs w:val="32"/>
          <w:lang w:val="en-US" w:eastAsia="zh-CN"/>
        </w:rPr>
      </w:pPr>
      <w:r>
        <w:rPr>
          <w:rFonts w:hint="eastAsia" w:eastAsia="黑体"/>
          <w:sz w:val="32"/>
          <w:szCs w:val="32"/>
          <w:lang w:val="en-US" w:eastAsia="zh-CN"/>
        </w:rPr>
        <w:t>附件3：</w:t>
      </w:r>
    </w:p>
    <w:tbl>
      <w:tblPr>
        <w:tblStyle w:val="8"/>
        <w:tblpPr w:leftFromText="180" w:rightFromText="180" w:vertAnchor="text" w:horzAnchor="page" w:tblpX="1259" w:tblpY="751"/>
        <w:tblOverlap w:val="never"/>
        <w:tblW w:w="97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28"/>
        <w:gridCol w:w="2642"/>
        <w:gridCol w:w="1649"/>
        <w:gridCol w:w="839"/>
        <w:gridCol w:w="840"/>
        <w:gridCol w:w="25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9780" w:type="dxa"/>
            <w:gridSpan w:val="6"/>
            <w:shd w:val="clear" w:color="auto" w:fill="auto"/>
            <w:vAlign w:val="bottom"/>
          </w:tcPr>
          <w:p>
            <w:pPr>
              <w:keepNext w:val="0"/>
              <w:keepLines w:val="0"/>
              <w:widowControl/>
              <w:suppressLineNumbers w:val="0"/>
              <w:jc w:val="center"/>
              <w:textAlignment w:val="bottom"/>
              <w:rPr>
                <w:rFonts w:ascii="华文中宋" w:hAnsi="华文中宋" w:eastAsia="华文中宋" w:cs="华文中宋"/>
                <w:b/>
                <w:i w:val="0"/>
                <w:color w:val="000000"/>
                <w:sz w:val="40"/>
                <w:szCs w:val="40"/>
                <w:u w:val="none"/>
              </w:rPr>
            </w:pPr>
            <w:r>
              <w:rPr>
                <w:rFonts w:hint="eastAsia" w:eastAsia="黑体"/>
                <w:sz w:val="40"/>
                <w:szCs w:val="40"/>
                <w:lang w:val="en-US" w:eastAsia="zh-CN"/>
              </w:rPr>
              <w:t>参训人员名册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9780" w:type="dxa"/>
            <w:gridSpan w:val="6"/>
            <w:tcBorders>
              <w:bottom w:val="single" w:color="000000" w:sz="4" w:space="0"/>
            </w:tcBorders>
            <w:shd w:val="clear" w:color="auto" w:fill="auto"/>
            <w:vAlign w:val="bottom"/>
          </w:tcPr>
          <w:p>
            <w:pPr>
              <w:jc w:val="center"/>
              <w:rPr>
                <w:rFonts w:hint="eastAsia" w:ascii="华文中宋" w:hAnsi="华文中宋" w:eastAsia="华文中宋" w:cs="华文中宋"/>
                <w:b/>
                <w:i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3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参训人员</w:t>
            </w:r>
            <w:r>
              <w:rPr>
                <w:rFonts w:hint="eastAsia" w:ascii="黑体" w:hAnsi="宋体" w:eastAsia="黑体" w:cs="黑体"/>
                <w:i w:val="0"/>
                <w:color w:val="000000"/>
                <w:kern w:val="0"/>
                <w:sz w:val="28"/>
                <w:szCs w:val="28"/>
                <w:u w:val="none"/>
                <w:lang w:val="en-US" w:eastAsia="zh-CN" w:bidi="ar"/>
              </w:rPr>
              <w:br w:type="textWrapping"/>
            </w:r>
            <w:r>
              <w:rPr>
                <w:rFonts w:hint="eastAsia" w:ascii="黑体" w:hAnsi="宋体" w:eastAsia="黑体" w:cs="黑体"/>
                <w:i w:val="0"/>
                <w:color w:val="000000"/>
                <w:kern w:val="0"/>
                <w:sz w:val="28"/>
                <w:szCs w:val="28"/>
                <w:u w:val="none"/>
                <w:lang w:val="en-US" w:eastAsia="zh-CN" w:bidi="ar"/>
              </w:rPr>
              <w:t>姓名</w:t>
            </w: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单位</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职务及职称</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年龄</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性别</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意见建议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228"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64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default" w:ascii="Times New Roman" w:hAnsi="Times New Roman" w:eastAsia="宋体" w:cs="Times New Roman"/>
                <w:i w:val="0"/>
                <w:color w:val="000000"/>
                <w:sz w:val="22"/>
                <w:szCs w:val="22"/>
                <w:u w:val="none"/>
              </w:rPr>
            </w:pPr>
          </w:p>
        </w:tc>
      </w:tr>
    </w:tbl>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p>
    <w:tbl>
      <w:tblPr>
        <w:tblStyle w:val="8"/>
        <w:tblW w:w="177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97"/>
        <w:gridCol w:w="976"/>
        <w:gridCol w:w="1379"/>
        <w:gridCol w:w="576"/>
        <w:gridCol w:w="608"/>
        <w:gridCol w:w="768"/>
        <w:gridCol w:w="26"/>
        <w:gridCol w:w="809"/>
        <w:gridCol w:w="451"/>
        <w:gridCol w:w="373"/>
        <w:gridCol w:w="420"/>
        <w:gridCol w:w="389"/>
        <w:gridCol w:w="419"/>
        <w:gridCol w:w="660"/>
        <w:gridCol w:w="163"/>
        <w:gridCol w:w="646"/>
        <w:gridCol w:w="162"/>
        <w:gridCol w:w="917"/>
        <w:gridCol w:w="160"/>
        <w:gridCol w:w="634"/>
        <w:gridCol w:w="174"/>
        <w:gridCol w:w="905"/>
        <w:gridCol w:w="172"/>
        <w:gridCol w:w="793"/>
        <w:gridCol w:w="1077"/>
        <w:gridCol w:w="64"/>
        <w:gridCol w:w="28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1197" w:type="dxa"/>
            <w:shd w:val="clear" w:color="auto" w:fill="auto"/>
            <w:vAlign w:val="center"/>
          </w:tcPr>
          <w:p>
            <w:pPr>
              <w:keepNext w:val="0"/>
              <w:keepLines w:val="0"/>
              <w:widowControl/>
              <w:suppressLineNumbers w:val="0"/>
              <w:jc w:val="left"/>
              <w:textAlignment w:val="center"/>
              <w:rPr>
                <w:rFonts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附件</w:t>
            </w:r>
            <w:r>
              <w:rPr>
                <w:rStyle w:val="10"/>
                <w:rFonts w:eastAsia="黑体"/>
                <w:lang w:val="en-US" w:eastAsia="zh-CN" w:bidi="ar"/>
              </w:rPr>
              <w:t>4</w:t>
            </w:r>
          </w:p>
        </w:tc>
        <w:tc>
          <w:tcPr>
            <w:tcW w:w="2931" w:type="dxa"/>
            <w:gridSpan w:val="3"/>
            <w:shd w:val="clear" w:color="auto" w:fill="auto"/>
            <w:vAlign w:val="center"/>
          </w:tcPr>
          <w:p>
            <w:pPr>
              <w:rPr>
                <w:rFonts w:hint="default" w:ascii="Times New Roman" w:hAnsi="Times New Roman" w:eastAsia="宋体" w:cs="Times New Roman"/>
                <w:i w:val="0"/>
                <w:color w:val="000000"/>
                <w:sz w:val="22"/>
                <w:szCs w:val="22"/>
                <w:u w:val="none"/>
              </w:rPr>
            </w:pPr>
          </w:p>
        </w:tc>
        <w:tc>
          <w:tcPr>
            <w:tcW w:w="1376"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c>
          <w:tcPr>
            <w:tcW w:w="1286" w:type="dxa"/>
            <w:gridSpan w:val="3"/>
            <w:shd w:val="clear" w:color="auto" w:fill="auto"/>
            <w:vAlign w:val="center"/>
          </w:tcPr>
          <w:p>
            <w:pPr>
              <w:rPr>
                <w:rFonts w:hint="default" w:ascii="Times New Roman" w:hAnsi="Times New Roman" w:eastAsia="宋体" w:cs="Times New Roman"/>
                <w:i w:val="0"/>
                <w:color w:val="000000"/>
                <w:sz w:val="22"/>
                <w:szCs w:val="22"/>
                <w:u w:val="none"/>
              </w:rPr>
            </w:pPr>
          </w:p>
        </w:tc>
        <w:tc>
          <w:tcPr>
            <w:tcW w:w="793"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c>
          <w:tcPr>
            <w:tcW w:w="808"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c>
          <w:tcPr>
            <w:tcW w:w="823"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c>
          <w:tcPr>
            <w:tcW w:w="808"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c>
          <w:tcPr>
            <w:tcW w:w="1077"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c>
          <w:tcPr>
            <w:tcW w:w="808"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c>
          <w:tcPr>
            <w:tcW w:w="1077"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c>
          <w:tcPr>
            <w:tcW w:w="793" w:type="dxa"/>
            <w:shd w:val="clear" w:color="auto" w:fill="auto"/>
            <w:vAlign w:val="center"/>
          </w:tcPr>
          <w:p>
            <w:pPr>
              <w:rPr>
                <w:rFonts w:hint="default" w:ascii="Times New Roman" w:hAnsi="Times New Roman" w:eastAsia="宋体" w:cs="Times New Roman"/>
                <w:i w:val="0"/>
                <w:color w:val="000000"/>
                <w:sz w:val="22"/>
                <w:szCs w:val="22"/>
                <w:u w:val="none"/>
              </w:rPr>
            </w:pPr>
          </w:p>
        </w:tc>
        <w:tc>
          <w:tcPr>
            <w:tcW w:w="1077" w:type="dxa"/>
            <w:shd w:val="clear" w:color="auto" w:fill="auto"/>
            <w:vAlign w:val="center"/>
          </w:tcPr>
          <w:p>
            <w:pPr>
              <w:rPr>
                <w:rFonts w:hint="default" w:ascii="Times New Roman" w:hAnsi="Times New Roman" w:eastAsia="宋体" w:cs="Times New Roman"/>
                <w:i w:val="0"/>
                <w:color w:val="000000"/>
                <w:sz w:val="22"/>
                <w:szCs w:val="22"/>
                <w:u w:val="none"/>
              </w:rPr>
            </w:pPr>
          </w:p>
        </w:tc>
        <w:tc>
          <w:tcPr>
            <w:tcW w:w="2916" w:type="dxa"/>
            <w:gridSpan w:val="2"/>
            <w:shd w:val="clear" w:color="auto" w:fill="auto"/>
            <w:vAlign w:val="center"/>
          </w:tcPr>
          <w:p>
            <w:pP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7770" w:type="dxa"/>
            <w:gridSpan w:val="27"/>
            <w:vMerge w:val="restart"/>
            <w:shd w:val="clear" w:color="auto" w:fill="auto"/>
            <w:vAlign w:val="center"/>
          </w:tcPr>
          <w:p>
            <w:pPr>
              <w:keepNext w:val="0"/>
              <w:keepLines w:val="0"/>
              <w:widowControl/>
              <w:suppressLineNumbers w:val="0"/>
              <w:ind w:firstLine="5200" w:firstLineChars="1300"/>
              <w:jc w:val="both"/>
              <w:textAlignment w:val="center"/>
              <w:rPr>
                <w:rFonts w:ascii="华文中宋" w:hAnsi="华文中宋" w:eastAsia="华文中宋" w:cs="华文中宋"/>
                <w:b/>
                <w:i w:val="0"/>
                <w:color w:val="000000"/>
                <w:sz w:val="40"/>
                <w:szCs w:val="40"/>
                <w:u w:val="none"/>
              </w:rPr>
            </w:pPr>
            <w:r>
              <w:rPr>
                <w:rFonts w:hint="eastAsia" w:eastAsia="黑体"/>
                <w:sz w:val="40"/>
                <w:szCs w:val="40"/>
                <w:lang w:val="en-US" w:eastAsia="zh-CN"/>
              </w:rPr>
              <w:t>参训人员意见反馈示例表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7770" w:type="dxa"/>
            <w:gridSpan w:val="27"/>
            <w:vMerge w:val="continue"/>
            <w:shd w:val="clear" w:color="auto" w:fill="auto"/>
            <w:vAlign w:val="center"/>
          </w:tcPr>
          <w:p>
            <w:pPr>
              <w:jc w:val="center"/>
              <w:rPr>
                <w:rFonts w:hint="eastAsia" w:ascii="华文中宋" w:hAnsi="华文中宋" w:eastAsia="华文中宋" w:cs="华文中宋"/>
                <w:b/>
                <w:i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17770" w:type="dxa"/>
            <w:gridSpan w:val="27"/>
            <w:tcBorders>
              <w:bottom w:val="single" w:color="000000" w:sz="4" w:space="0"/>
            </w:tcBorders>
            <w:shd w:val="clear" w:color="auto" w:fill="auto"/>
            <w:vAlign w:val="center"/>
          </w:tcPr>
          <w:p>
            <w:pPr>
              <w:keepNext w:val="0"/>
              <w:keepLines w:val="0"/>
              <w:widowControl/>
              <w:suppressLineNumbers w:val="0"/>
              <w:ind w:firstLine="4518" w:firstLineChars="1500"/>
              <w:jc w:val="both"/>
              <w:textAlignment w:val="center"/>
              <w:rPr>
                <w:rFonts w:ascii="仿宋_GB2312" w:hAnsi="宋体" w:eastAsia="仿宋_GB2312" w:cs="仿宋_GB2312"/>
                <w:b/>
                <w:i w:val="0"/>
                <w:color w:val="000000"/>
                <w:sz w:val="30"/>
                <w:szCs w:val="30"/>
                <w:u w:val="none"/>
              </w:rPr>
            </w:pPr>
            <w:r>
              <w:rPr>
                <w:rFonts w:hint="default" w:ascii="仿宋_GB2312" w:hAnsi="宋体" w:eastAsia="仿宋_GB2312" w:cs="仿宋_GB2312"/>
                <w:b/>
                <w:i w:val="0"/>
                <w:color w:val="000000"/>
                <w:kern w:val="0"/>
                <w:sz w:val="30"/>
                <w:szCs w:val="30"/>
                <w:u w:val="none"/>
                <w:lang w:val="en-US" w:eastAsia="zh-CN" w:bidi="ar"/>
              </w:rPr>
              <w:t>第</w:t>
            </w:r>
            <w:r>
              <w:rPr>
                <w:rStyle w:val="11"/>
                <w:rFonts w:eastAsia="仿宋_GB2312"/>
                <w:lang w:val="en-US" w:eastAsia="zh-CN" w:bidi="ar"/>
              </w:rPr>
              <w:t xml:space="preserve">   </w:t>
            </w:r>
            <w:r>
              <w:rPr>
                <w:rStyle w:val="12"/>
                <w:rFonts w:hAnsi="宋体"/>
                <w:lang w:val="en-US" w:eastAsia="zh-CN" w:bidi="ar"/>
              </w:rPr>
              <w:t>期</w:t>
            </w:r>
            <w:r>
              <w:rPr>
                <w:rStyle w:val="13"/>
                <w:rFonts w:eastAsia="仿宋_GB2312"/>
                <w:lang w:val="en-US" w:eastAsia="zh-CN" w:bidi="ar"/>
              </w:rPr>
              <w:t xml:space="preserve">              </w:t>
            </w:r>
            <w:r>
              <w:rPr>
                <w:rStyle w:val="11"/>
                <w:rFonts w:eastAsia="仿宋_GB2312"/>
                <w:lang w:val="en-US" w:eastAsia="zh-CN" w:bidi="ar"/>
              </w:rPr>
              <w:t xml:space="preserve">   </w:t>
            </w:r>
            <w:r>
              <w:rPr>
                <w:rStyle w:val="12"/>
                <w:rFonts w:hAnsi="宋体"/>
                <w:lang w:val="en-US" w:eastAsia="zh-CN" w:bidi="ar"/>
              </w:rPr>
              <w:t>年</w:t>
            </w:r>
            <w:r>
              <w:rPr>
                <w:rStyle w:val="11"/>
                <w:rFonts w:eastAsia="仿宋_GB2312"/>
                <w:lang w:val="en-US" w:eastAsia="zh-CN" w:bidi="ar"/>
              </w:rPr>
              <w:t xml:space="preserve">   </w:t>
            </w:r>
            <w:r>
              <w:rPr>
                <w:rStyle w:val="12"/>
                <w:rFonts w:hAnsi="宋体"/>
                <w:lang w:val="en-US" w:eastAsia="zh-CN" w:bidi="ar"/>
              </w:rPr>
              <w:t>月</w:t>
            </w:r>
            <w:r>
              <w:rPr>
                <w:rStyle w:val="11"/>
                <w:rFonts w:eastAsia="仿宋_GB2312"/>
                <w:lang w:val="en-US" w:eastAsia="zh-CN" w:bidi="ar"/>
              </w:rPr>
              <w:t xml:space="preserve">   </w:t>
            </w:r>
            <w:r>
              <w:rPr>
                <w:rStyle w:val="12"/>
                <w:rFonts w:hAnsi="宋体"/>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852" w:type="dxa"/>
          <w:trHeight w:val="375" w:hRule="atLeast"/>
        </w:trPr>
        <w:tc>
          <w:tcPr>
            <w:tcW w:w="217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单位名称</w:t>
            </w:r>
          </w:p>
        </w:tc>
        <w:tc>
          <w:tcPr>
            <w:tcW w:w="13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主管领导</w:t>
            </w:r>
          </w:p>
        </w:tc>
        <w:tc>
          <w:tcPr>
            <w:tcW w:w="11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参训人数</w:t>
            </w:r>
          </w:p>
        </w:tc>
        <w:tc>
          <w:tcPr>
            <w:tcW w:w="8076"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综合评价（请在相应位置打“√”）</w:t>
            </w:r>
          </w:p>
        </w:tc>
        <w:tc>
          <w:tcPr>
            <w:tcW w:w="2106"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意见及建议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852" w:type="dxa"/>
          <w:trHeight w:val="375" w:hRule="atLeast"/>
        </w:trPr>
        <w:tc>
          <w:tcPr>
            <w:tcW w:w="21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sz w:val="28"/>
                <w:szCs w:val="28"/>
                <w:u w:val="none"/>
              </w:rPr>
            </w:pPr>
          </w:p>
        </w:tc>
        <w:tc>
          <w:tcPr>
            <w:tcW w:w="13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sz w:val="28"/>
                <w:szCs w:val="28"/>
                <w:u w:val="none"/>
              </w:rPr>
            </w:pPr>
          </w:p>
        </w:tc>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sz w:val="28"/>
                <w:szCs w:val="28"/>
                <w:u w:val="none"/>
              </w:rPr>
            </w:pPr>
          </w:p>
        </w:tc>
        <w:tc>
          <w:tcPr>
            <w:tcW w:w="242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选题内容</w:t>
            </w:r>
          </w:p>
        </w:tc>
        <w:tc>
          <w:tcPr>
            <w:tcW w:w="269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专家水平</w:t>
            </w:r>
          </w:p>
        </w:tc>
        <w:tc>
          <w:tcPr>
            <w:tcW w:w="295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实用性</w:t>
            </w:r>
          </w:p>
        </w:tc>
        <w:tc>
          <w:tcPr>
            <w:tcW w:w="2106"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852" w:type="dxa"/>
          <w:trHeight w:val="375" w:hRule="atLeast"/>
        </w:trPr>
        <w:tc>
          <w:tcPr>
            <w:tcW w:w="21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sz w:val="28"/>
                <w:szCs w:val="28"/>
                <w:u w:val="none"/>
              </w:rPr>
            </w:pPr>
          </w:p>
        </w:tc>
        <w:tc>
          <w:tcPr>
            <w:tcW w:w="13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sz w:val="28"/>
                <w:szCs w:val="28"/>
                <w:u w:val="none"/>
              </w:rPr>
            </w:pPr>
          </w:p>
        </w:tc>
        <w:tc>
          <w:tcPr>
            <w:tcW w:w="11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sz w:val="28"/>
                <w:szCs w:val="28"/>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优秀</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一般</w:t>
            </w: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较差</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优秀</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一般</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较差</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优秀</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一般</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8"/>
                <w:szCs w:val="28"/>
                <w:u w:val="none"/>
              </w:rPr>
            </w:pPr>
            <w:r>
              <w:rPr>
                <w:rFonts w:hint="default" w:ascii="仿宋_GB2312" w:hAnsi="宋体" w:eastAsia="仿宋_GB2312" w:cs="仿宋_GB2312"/>
                <w:i w:val="0"/>
                <w:color w:val="000000"/>
                <w:kern w:val="0"/>
                <w:sz w:val="28"/>
                <w:szCs w:val="28"/>
                <w:u w:val="none"/>
                <w:lang w:val="en-US" w:eastAsia="zh-CN" w:bidi="ar"/>
              </w:rPr>
              <w:t>较差</w:t>
            </w:r>
          </w:p>
        </w:tc>
        <w:tc>
          <w:tcPr>
            <w:tcW w:w="2106"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852" w:type="dxa"/>
          <w:trHeight w:val="795" w:hRule="atLeast"/>
        </w:trPr>
        <w:tc>
          <w:tcPr>
            <w:tcW w:w="2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3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1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21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852" w:type="dxa"/>
          <w:trHeight w:val="795" w:hRule="atLeast"/>
        </w:trPr>
        <w:tc>
          <w:tcPr>
            <w:tcW w:w="2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3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1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21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852" w:type="dxa"/>
          <w:trHeight w:val="795" w:hRule="atLeast"/>
        </w:trPr>
        <w:tc>
          <w:tcPr>
            <w:tcW w:w="2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3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1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21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2852" w:type="dxa"/>
          <w:trHeight w:val="795" w:hRule="atLeast"/>
        </w:trPr>
        <w:tc>
          <w:tcPr>
            <w:tcW w:w="2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3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1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21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2852" w:type="dxa"/>
          <w:trHeight w:val="795" w:hRule="atLeast"/>
        </w:trPr>
        <w:tc>
          <w:tcPr>
            <w:tcW w:w="2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3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1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21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bl>
    <w:p>
      <w:pPr>
        <w:rPr>
          <w:rFonts w:hint="eastAsia" w:ascii="仿宋" w:hAnsi="仿宋" w:eastAsia="仿宋" w:cs="仿宋"/>
          <w:sz w:val="32"/>
          <w:szCs w:val="32"/>
          <w:lang w:val="en-US" w:eastAsia="zh-CN"/>
        </w:rPr>
      </w:pPr>
    </w:p>
    <w:sectPr>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 w:name="Arial">
    <w:panose1 w:val="020B0604020202020204"/>
    <w:charset w:val="00"/>
    <w:family w:val="auto"/>
    <w:pitch w:val="default"/>
    <w:sig w:usb0="E0002AFF" w:usb1="C0007843" w:usb2="00000009" w:usb3="00000000" w:csb0="400001FF" w:csb1="FFFF0000"/>
  </w:font>
  <w:font w:name="华文宋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方正黑体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0E5301"/>
    <w:multiLevelType w:val="singleLevel"/>
    <w:tmpl w:val="5B0E530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644378"/>
    <w:rsid w:val="07F6066B"/>
    <w:rsid w:val="09893000"/>
    <w:rsid w:val="366A6228"/>
    <w:rsid w:val="605867A8"/>
    <w:rsid w:val="7B9E1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font81"/>
    <w:basedOn w:val="6"/>
    <w:uiPriority w:val="0"/>
    <w:rPr>
      <w:rFonts w:hint="default" w:ascii="Times New Roman" w:hAnsi="Times New Roman" w:cs="Times New Roman"/>
      <w:color w:val="000000"/>
      <w:sz w:val="28"/>
      <w:szCs w:val="28"/>
      <w:u w:val="none"/>
    </w:rPr>
  </w:style>
  <w:style w:type="character" w:customStyle="1" w:styleId="11">
    <w:name w:val="font71"/>
    <w:basedOn w:val="6"/>
    <w:uiPriority w:val="0"/>
    <w:rPr>
      <w:rFonts w:hint="default" w:ascii="Times New Roman" w:hAnsi="Times New Roman" w:cs="Times New Roman"/>
      <w:b/>
      <w:color w:val="000000"/>
      <w:sz w:val="30"/>
      <w:szCs w:val="30"/>
      <w:u w:val="single"/>
    </w:rPr>
  </w:style>
  <w:style w:type="character" w:customStyle="1" w:styleId="12">
    <w:name w:val="font41"/>
    <w:basedOn w:val="6"/>
    <w:uiPriority w:val="0"/>
    <w:rPr>
      <w:rFonts w:hint="default" w:ascii="仿宋_GB2312" w:eastAsia="仿宋_GB2312" w:cs="仿宋_GB2312"/>
      <w:b/>
      <w:color w:val="000000"/>
      <w:sz w:val="30"/>
      <w:szCs w:val="30"/>
      <w:u w:val="none"/>
    </w:rPr>
  </w:style>
  <w:style w:type="character" w:customStyle="1" w:styleId="13">
    <w:name w:val="font51"/>
    <w:basedOn w:val="6"/>
    <w:uiPriority w:val="0"/>
    <w:rPr>
      <w:rFonts w:hint="default" w:ascii="Times New Roman" w:hAnsi="Times New Roman" w:cs="Times New Roman"/>
      <w:b/>
      <w:color w:val="000000"/>
      <w:sz w:val="30"/>
      <w:szCs w:val="3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王的传人</cp:lastModifiedBy>
  <cp:lastPrinted>2018-05-31T06:27:10Z</cp:lastPrinted>
  <dcterms:modified xsi:type="dcterms:W3CDTF">2018-05-31T06:34:23Z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